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rPr>
      </w:pPr>
      <w:bookmarkStart w:id="0" w:name="_Toc102813319"/>
      <w:bookmarkStart w:id="1" w:name="_Toc85209825"/>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楷体" w:hAnsi="楷体" w:eastAsia="楷体" w:cs="楷体"/>
          <w:b w:val="0"/>
          <w:bCs/>
          <w:sz w:val="44"/>
          <w:szCs w:val="44"/>
        </w:rPr>
      </w:pPr>
      <w:r>
        <w:rPr>
          <w:rFonts w:hint="eastAsia" w:ascii="楷体" w:hAnsi="楷体" w:eastAsia="楷体" w:cs="楷体"/>
          <w:b w:val="0"/>
          <w:bCs/>
          <w:sz w:val="44"/>
          <w:szCs w:val="44"/>
        </w:rPr>
        <w:t>中华人民共和国海事局</w:t>
      </w:r>
    </w:p>
    <w:p>
      <w:pPr>
        <w:jc w:val="cente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b/>
          <w:sz w:val="52"/>
          <w:szCs w:val="52"/>
        </w:rPr>
      </w:pPr>
      <w:r>
        <w:rPr>
          <w:rFonts w:hint="eastAsia" w:ascii="宋体" w:hAnsi="宋体"/>
          <w:b/>
          <w:sz w:val="52"/>
          <w:szCs w:val="52"/>
        </w:rPr>
        <w:t>船舶与海上设施法定检验技术规则</w:t>
      </w:r>
    </w:p>
    <w:p>
      <w:pPr>
        <w:jc w:val="center"/>
        <w:rPr>
          <w:rFonts w:hint="eastAsia" w:ascii="宋体" w:hAnsi="宋体"/>
        </w:rPr>
      </w:pPr>
    </w:p>
    <w:p>
      <w:pPr>
        <w:jc w:val="center"/>
        <w:rPr>
          <w:rFonts w:hint="eastAsia" w:ascii="宋体" w:hAnsi="宋体" w:eastAsia="宋体" w:cs="宋体"/>
          <w:sz w:val="44"/>
          <w:szCs w:val="44"/>
        </w:rPr>
      </w:pPr>
      <w:r>
        <w:rPr>
          <w:rFonts w:hint="eastAsia" w:ascii="宋体" w:hAnsi="宋体" w:eastAsia="宋体" w:cs="宋体"/>
          <w:sz w:val="44"/>
          <w:szCs w:val="44"/>
        </w:rPr>
        <w:t>国际航行海船法定检验技术规则</w:t>
      </w:r>
    </w:p>
    <w:p>
      <w:pPr>
        <w:jc w:val="center"/>
        <w:rPr>
          <w:rFonts w:hint="eastAsia" w:ascii="宋体" w:hAnsi="宋体" w:eastAsia="宋体" w:cs="宋体"/>
          <w:sz w:val="21"/>
          <w:szCs w:val="21"/>
        </w:rPr>
      </w:pPr>
    </w:p>
    <w:p>
      <w:pPr>
        <w:jc w:val="center"/>
        <w:rPr>
          <w:rFonts w:hint="eastAsia" w:ascii="宋体" w:hAnsi="宋体" w:eastAsia="宋体" w:cs="宋体"/>
          <w:b/>
          <w:bCs/>
          <w:sz w:val="44"/>
          <w:szCs w:val="44"/>
        </w:rPr>
      </w:pPr>
      <w:r>
        <w:rPr>
          <w:rFonts w:hint="eastAsia" w:ascii="宋体" w:hAnsi="宋体" w:eastAsia="宋体" w:cs="宋体"/>
          <w:b/>
          <w:bCs/>
          <w:sz w:val="44"/>
          <w:szCs w:val="44"/>
        </w:rPr>
        <w:t>2022年修改通报</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bookmarkEnd w:id="0"/>
    <w:bookmarkEnd w:id="1"/>
    <w:p>
      <w:pPr>
        <w:keepNext w:val="0"/>
        <w:keepLines w:val="0"/>
        <w:pageBreakBefore w:val="0"/>
        <w:widowControl w:val="0"/>
        <w:numPr>
          <w:ilvl w:val="0"/>
          <w:numId w:val="2"/>
        </w:numPr>
        <w:kinsoku/>
        <w:wordWrap/>
        <w:overflowPunct/>
        <w:topLinePunct w:val="0"/>
        <w:autoSpaceDE/>
        <w:autoSpaceDN/>
        <w:bidi w:val="0"/>
        <w:adjustRightInd/>
        <w:snapToGrid/>
        <w:spacing w:before="156" w:beforeLines="50" w:after="0" w:afterLines="0" w:line="460" w:lineRule="exact"/>
        <w:ind w:left="0" w:leftChars="0" w:right="0" w:rightChars="0" w:firstLine="0" w:firstLineChars="0"/>
        <w:jc w:val="center"/>
        <w:textAlignment w:val="auto"/>
        <w:outlineLvl w:val="9"/>
        <w:rPr>
          <w:rFonts w:hint="eastAsia" w:ascii="宋体" w:hAnsi="宋体" w:eastAsia="宋体" w:cs="宋体"/>
          <w:b/>
          <w:bCs w:val="0"/>
          <w:sz w:val="32"/>
          <w:szCs w:val="32"/>
          <w:lang w:eastAsia="zh-CN"/>
        </w:rPr>
      </w:pPr>
      <w:r>
        <w:rPr>
          <w:rFonts w:hint="eastAsia" w:ascii="宋体" w:hAnsi="宋体" w:eastAsia="宋体" w:cs="宋体"/>
          <w:b/>
          <w:bCs w:val="0"/>
          <w:sz w:val="32"/>
          <w:szCs w:val="32"/>
          <w:lang w:eastAsia="zh-CN"/>
        </w:rPr>
        <w:t xml:space="preserve"> 船舶防污染、能效及压载水管理</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after="0" w:afterLines="0" w:line="460" w:lineRule="exact"/>
        <w:ind w:leftChars="0" w:right="0" w:rightChars="0"/>
        <w:jc w:val="center"/>
        <w:textAlignment w:val="auto"/>
        <w:outlineLvl w:val="9"/>
        <w:rPr>
          <w:rFonts w:hint="eastAsia" w:ascii="宋体" w:hAnsi="宋体" w:eastAsia="宋体" w:cs="宋体"/>
          <w:b w:val="0"/>
          <w:bCs/>
          <w:sz w:val="32"/>
          <w:szCs w:val="32"/>
          <w:lang w:eastAsia="zh-CN"/>
        </w:rPr>
      </w:pPr>
      <w:r>
        <w:rPr>
          <w:rFonts w:hint="eastAsia" w:ascii="宋体" w:hAnsi="宋体" w:eastAsia="宋体" w:cs="宋体"/>
          <w:b w:val="0"/>
          <w:bCs/>
          <w:sz w:val="32"/>
          <w:szCs w:val="32"/>
          <w:lang w:eastAsia="zh-CN"/>
        </w:rPr>
        <w:t>（征求意见稿）</w:t>
      </w:r>
    </w:p>
    <w:p>
      <w:pPr>
        <w:widowControl/>
        <w:jc w:val="center"/>
        <w:rPr>
          <w:rFonts w:ascii="Times New Roman" w:hAnsi="Times New Roman" w:eastAsia="黑体" w:cs="Times New Roman"/>
          <w:b w:val="0"/>
          <w:bCs/>
          <w:sz w:val="32"/>
          <w:szCs w:val="32"/>
        </w:rPr>
        <w:sectPr>
          <w:footerReference r:id="rId4" w:type="default"/>
          <w:footerReference r:id="rId5" w:type="even"/>
          <w:footnotePr>
            <w:numFmt w:val="decimalEnclosedCircleChinese"/>
            <w:numRestart w:val="eachPage"/>
          </w:footnotePr>
          <w:pgSz w:w="12240" w:h="15840"/>
          <w:pgMar w:top="1440" w:right="1800" w:bottom="1440" w:left="1800" w:header="720" w:footer="720" w:gutter="0"/>
          <w:pgNumType w:fmt="decimal" w:start="1"/>
          <w:cols w:space="425" w:num="1"/>
          <w:titlePg/>
          <w:docGrid w:type="lines" w:linePitch="312" w:charSpace="0"/>
        </w:sectPr>
      </w:pPr>
    </w:p>
    <w:p>
      <w:pPr>
        <w:jc w:val="center"/>
        <w:rPr>
          <w:rFonts w:hint="eastAsia" w:ascii="黑体" w:hAnsi="黑体" w:eastAsia="黑体" w:cs="黑体"/>
          <w:b/>
          <w:sz w:val="32"/>
          <w:szCs w:val="32"/>
        </w:rPr>
      </w:pPr>
      <w:r>
        <w:rPr>
          <w:rFonts w:hint="eastAsia" w:ascii="黑体" w:hAnsi="黑体" w:eastAsia="黑体" w:cs="黑体"/>
          <w:b/>
          <w:sz w:val="32"/>
          <w:szCs w:val="32"/>
        </w:rPr>
        <w:t>目</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录</w:t>
      </w:r>
    </w:p>
    <w:p>
      <w:pPr>
        <w:jc w:val="center"/>
        <w:rPr>
          <w:rFonts w:ascii="宋体" w:hAnsi="宋体"/>
          <w:b/>
          <w:sz w:val="30"/>
          <w:szCs w:val="30"/>
        </w:rPr>
      </w:pPr>
    </w:p>
    <w:p>
      <w:pPr>
        <w:pStyle w:val="16"/>
        <w:tabs>
          <w:tab w:val="right" w:leader="dot" w:pos="8640"/>
          <w:tab w:val="clear" w:pos="8303"/>
        </w:tabs>
      </w:pPr>
      <w:r>
        <w:rPr>
          <w:b w:val="0"/>
        </w:rPr>
        <w:fldChar w:fldCharType="begin"/>
      </w:r>
      <w:r>
        <w:rPr>
          <w:b w:val="0"/>
        </w:rPr>
        <w:instrText xml:space="preserve"> TOC \o "1-4" \h \z \u </w:instrText>
      </w:r>
      <w:r>
        <w:rPr>
          <w:b w:val="0"/>
        </w:rPr>
        <w:fldChar w:fldCharType="separate"/>
      </w:r>
      <w:r>
        <w:fldChar w:fldCharType="begin"/>
      </w:r>
      <w:r>
        <w:instrText xml:space="preserve"> HYPERLINK \l "_Toc18578" </w:instrText>
      </w:r>
      <w:r>
        <w:fldChar w:fldCharType="separate"/>
      </w:r>
      <w:r>
        <w:t>说明与要求</w:t>
      </w:r>
      <w:r>
        <w:tab/>
      </w:r>
      <w:r>
        <w:fldChar w:fldCharType="begin"/>
      </w:r>
      <w:r>
        <w:instrText xml:space="preserve"> PAGEREF _Toc18578 \h </w:instrText>
      </w:r>
      <w:r>
        <w:fldChar w:fldCharType="separate"/>
      </w:r>
      <w:r>
        <w:t>1</w:t>
      </w:r>
      <w:r>
        <w:fldChar w:fldCharType="end"/>
      </w:r>
      <w:r>
        <w:fldChar w:fldCharType="end"/>
      </w:r>
    </w:p>
    <w:p>
      <w:pPr>
        <w:pStyle w:val="21"/>
        <w:tabs>
          <w:tab w:val="right" w:leader="dot" w:pos="8640"/>
        </w:tabs>
      </w:pPr>
      <w:r>
        <w:fldChar w:fldCharType="begin"/>
      </w:r>
      <w:r>
        <w:instrText xml:space="preserve"> HYPERLINK \l "_Toc16729" </w:instrText>
      </w:r>
      <w:r>
        <w:fldChar w:fldCharType="separate"/>
      </w:r>
      <w:r>
        <w:rPr>
          <w:caps/>
          <w:kern w:val="32"/>
          <w:szCs w:val="28"/>
        </w:rPr>
        <w:t xml:space="preserve">1  </w:t>
      </w:r>
      <w:r>
        <w:rPr>
          <w:rFonts w:ascii="宋体" w:hAnsi="宋体"/>
          <w:caps/>
          <w:kern w:val="32"/>
          <w:szCs w:val="28"/>
        </w:rPr>
        <w:t>适用范围</w:t>
      </w:r>
      <w:r>
        <w:tab/>
      </w:r>
      <w:r>
        <w:fldChar w:fldCharType="begin"/>
      </w:r>
      <w:r>
        <w:instrText xml:space="preserve"> PAGEREF _Toc16729 \h </w:instrText>
      </w:r>
      <w:r>
        <w:fldChar w:fldCharType="separate"/>
      </w:r>
      <w:r>
        <w:t>1</w:t>
      </w:r>
      <w:r>
        <w:fldChar w:fldCharType="end"/>
      </w:r>
      <w:r>
        <w:fldChar w:fldCharType="end"/>
      </w:r>
    </w:p>
    <w:p>
      <w:pPr>
        <w:pStyle w:val="21"/>
        <w:tabs>
          <w:tab w:val="right" w:leader="dot" w:pos="8640"/>
        </w:tabs>
      </w:pPr>
      <w:r>
        <w:fldChar w:fldCharType="begin"/>
      </w:r>
      <w:r>
        <w:instrText xml:space="preserve"> HYPERLINK \l "_Toc12080" </w:instrText>
      </w:r>
      <w:r>
        <w:fldChar w:fldCharType="separate"/>
      </w:r>
      <w:r>
        <w:rPr>
          <w:caps/>
          <w:kern w:val="32"/>
          <w:szCs w:val="28"/>
        </w:rPr>
        <w:t xml:space="preserve">2  </w:t>
      </w:r>
      <w:r>
        <w:rPr>
          <w:rFonts w:ascii="宋体" w:hAnsi="宋体"/>
          <w:caps/>
          <w:kern w:val="32"/>
          <w:szCs w:val="28"/>
        </w:rPr>
        <w:t>说</w:t>
      </w:r>
      <w:r>
        <w:rPr>
          <w:caps/>
          <w:kern w:val="32"/>
          <w:szCs w:val="28"/>
        </w:rPr>
        <w:t xml:space="preserve">    </w:t>
      </w:r>
      <w:r>
        <w:rPr>
          <w:rFonts w:ascii="宋体" w:hAnsi="宋体"/>
          <w:caps/>
          <w:kern w:val="32"/>
          <w:szCs w:val="28"/>
        </w:rPr>
        <w:t>明</w:t>
      </w:r>
      <w:r>
        <w:tab/>
      </w:r>
      <w:r>
        <w:fldChar w:fldCharType="begin"/>
      </w:r>
      <w:r>
        <w:instrText xml:space="preserve"> PAGEREF _Toc12080 \h </w:instrText>
      </w:r>
      <w:r>
        <w:fldChar w:fldCharType="separate"/>
      </w:r>
      <w:r>
        <w:t>1</w:t>
      </w:r>
      <w:r>
        <w:fldChar w:fldCharType="end"/>
      </w:r>
      <w:r>
        <w:fldChar w:fldCharType="end"/>
      </w:r>
    </w:p>
    <w:p>
      <w:pPr>
        <w:pStyle w:val="16"/>
        <w:tabs>
          <w:tab w:val="right" w:leader="dot" w:pos="8640"/>
          <w:tab w:val="clear" w:pos="8303"/>
        </w:tabs>
      </w:pPr>
      <w:r>
        <w:fldChar w:fldCharType="begin"/>
      </w:r>
      <w:r>
        <w:instrText xml:space="preserve"> HYPERLINK \l "_Toc12755" </w:instrText>
      </w:r>
      <w:r>
        <w:fldChar w:fldCharType="separate"/>
      </w:r>
      <w:r>
        <w:t>第1章  防止油类污染规则</w:t>
      </w:r>
      <w:r>
        <w:tab/>
      </w:r>
      <w:r>
        <w:fldChar w:fldCharType="begin"/>
      </w:r>
      <w:r>
        <w:instrText xml:space="preserve"> PAGEREF _Toc12755 \h </w:instrText>
      </w:r>
      <w:r>
        <w:fldChar w:fldCharType="separate"/>
      </w:r>
      <w:r>
        <w:t>4</w:t>
      </w:r>
      <w:r>
        <w:fldChar w:fldCharType="end"/>
      </w:r>
      <w:r>
        <w:fldChar w:fldCharType="end"/>
      </w:r>
    </w:p>
    <w:p>
      <w:pPr>
        <w:pStyle w:val="21"/>
        <w:tabs>
          <w:tab w:val="right" w:leader="dot" w:pos="8640"/>
        </w:tabs>
      </w:pPr>
      <w:r>
        <w:fldChar w:fldCharType="begin"/>
      </w:r>
      <w:r>
        <w:instrText xml:space="preserve"> HYPERLINK \l "_Toc1892" </w:instrText>
      </w:r>
      <w:r>
        <w:fldChar w:fldCharType="separate"/>
      </w:r>
      <w:r>
        <w:t>I  总  则</w:t>
      </w:r>
      <w:r>
        <w:tab/>
      </w:r>
      <w:r>
        <w:fldChar w:fldCharType="begin"/>
      </w:r>
      <w:r>
        <w:instrText xml:space="preserve"> PAGEREF _Toc1892 \h </w:instrText>
      </w:r>
      <w:r>
        <w:fldChar w:fldCharType="separate"/>
      </w:r>
      <w:r>
        <w:t>4</w:t>
      </w:r>
      <w:r>
        <w:fldChar w:fldCharType="end"/>
      </w:r>
      <w:r>
        <w:fldChar w:fldCharType="end"/>
      </w:r>
    </w:p>
    <w:p>
      <w:pPr>
        <w:pStyle w:val="17"/>
        <w:tabs>
          <w:tab w:val="right" w:leader="dot" w:pos="8640"/>
        </w:tabs>
      </w:pPr>
      <w:r>
        <w:fldChar w:fldCharType="begin"/>
      </w:r>
      <w:r>
        <w:instrText xml:space="preserve"> HYPERLINK \l "_Toc26742" </w:instrText>
      </w:r>
      <w:r>
        <w:fldChar w:fldCharType="separate"/>
      </w:r>
      <w:r>
        <w:rPr>
          <w:rFonts w:hint="eastAsia" w:ascii="Times New Roman" w:hAnsi="Times New Roman" w:eastAsia="黑体" w:cs="Times New Roman"/>
          <w:bCs/>
        </w:rPr>
        <w:t>第</w:t>
      </w:r>
      <w:r>
        <w:rPr>
          <w:rFonts w:ascii="Times New Roman" w:hAnsi="Times New Roman" w:eastAsia="黑体" w:cs="Times New Roman"/>
          <w:bCs/>
        </w:rPr>
        <w:t>1</w:t>
      </w:r>
      <w:r>
        <w:rPr>
          <w:rFonts w:hint="eastAsia" w:ascii="Times New Roman" w:hAnsi="Times New Roman" w:eastAsia="黑体" w:cs="Times New Roman"/>
          <w:bCs/>
        </w:rPr>
        <w:t xml:space="preserve">条  </w:t>
      </w:r>
      <w:r>
        <w:rPr>
          <w:rFonts w:ascii="Times New Roman" w:hAnsi="Times New Roman" w:eastAsia="黑体" w:cs="Times New Roman"/>
          <w:bCs/>
        </w:rPr>
        <w:t>定    义</w:t>
      </w:r>
      <w:r>
        <w:tab/>
      </w:r>
      <w:r>
        <w:fldChar w:fldCharType="begin"/>
      </w:r>
      <w:r>
        <w:instrText xml:space="preserve"> PAGEREF _Toc26742 \h </w:instrText>
      </w:r>
      <w:r>
        <w:fldChar w:fldCharType="separate"/>
      </w:r>
      <w:r>
        <w:t>4</w:t>
      </w:r>
      <w:r>
        <w:fldChar w:fldCharType="end"/>
      </w:r>
      <w:r>
        <w:fldChar w:fldCharType="end"/>
      </w:r>
    </w:p>
    <w:p>
      <w:pPr>
        <w:pStyle w:val="17"/>
        <w:tabs>
          <w:tab w:val="right" w:leader="dot" w:pos="8640"/>
        </w:tabs>
      </w:pPr>
      <w:r>
        <w:fldChar w:fldCharType="begin"/>
      </w:r>
      <w:r>
        <w:instrText xml:space="preserve"> HYPERLINK \l "_Toc29023" </w:instrText>
      </w:r>
      <w:r>
        <w:fldChar w:fldCharType="separate"/>
      </w:r>
      <w:r>
        <w:rPr>
          <w:rFonts w:hint="eastAsia" w:ascii="Times New Roman" w:hAnsi="Times New Roman" w:eastAsia="黑体" w:cs="Times New Roman"/>
          <w:bCs/>
        </w:rPr>
        <w:t>第3条  免    除</w:t>
      </w:r>
      <w:r>
        <w:tab/>
      </w:r>
      <w:r>
        <w:fldChar w:fldCharType="begin"/>
      </w:r>
      <w:r>
        <w:instrText xml:space="preserve"> PAGEREF _Toc29023 \h </w:instrText>
      </w:r>
      <w:r>
        <w:fldChar w:fldCharType="separate"/>
      </w:r>
      <w:r>
        <w:t>4</w:t>
      </w:r>
      <w:r>
        <w:fldChar w:fldCharType="end"/>
      </w:r>
      <w:r>
        <w:fldChar w:fldCharType="end"/>
      </w:r>
    </w:p>
    <w:p>
      <w:pPr>
        <w:pStyle w:val="21"/>
        <w:tabs>
          <w:tab w:val="right" w:leader="dot" w:pos="8640"/>
        </w:tabs>
      </w:pPr>
      <w:r>
        <w:fldChar w:fldCharType="begin"/>
      </w:r>
      <w:r>
        <w:instrText xml:space="preserve"> HYPERLINK \l "_Toc7672" </w:instrText>
      </w:r>
      <w:r>
        <w:fldChar w:fldCharType="separate"/>
      </w:r>
      <w:r>
        <w:rPr>
          <w:rFonts w:ascii="宋体" w:hAnsi="宋体" w:cs="宋体"/>
        </w:rPr>
        <w:t>Ⅱ</w:t>
      </w:r>
      <w:r>
        <w:t xml:space="preserve">  检验和发证</w:t>
      </w:r>
      <w:r>
        <w:tab/>
      </w:r>
      <w:r>
        <w:fldChar w:fldCharType="begin"/>
      </w:r>
      <w:r>
        <w:instrText xml:space="preserve"> PAGEREF _Toc7672 \h </w:instrText>
      </w:r>
      <w:r>
        <w:fldChar w:fldCharType="separate"/>
      </w:r>
      <w:r>
        <w:t>5</w:t>
      </w:r>
      <w:r>
        <w:fldChar w:fldCharType="end"/>
      </w:r>
      <w:r>
        <w:fldChar w:fldCharType="end"/>
      </w:r>
    </w:p>
    <w:p>
      <w:pPr>
        <w:pStyle w:val="17"/>
        <w:tabs>
          <w:tab w:val="right" w:leader="dot" w:pos="8640"/>
        </w:tabs>
      </w:pPr>
      <w:r>
        <w:fldChar w:fldCharType="begin"/>
      </w:r>
      <w:r>
        <w:instrText xml:space="preserve"> HYPERLINK \l "_Toc7972" </w:instrText>
      </w:r>
      <w:r>
        <w:fldChar w:fldCharType="separate"/>
      </w:r>
      <w:r>
        <w:rPr>
          <w:rFonts w:hint="eastAsia" w:ascii="Times New Roman" w:hAnsi="Times New Roman" w:eastAsia="黑体" w:cs="Times New Roman"/>
          <w:bCs/>
        </w:rPr>
        <w:t>第</w:t>
      </w:r>
      <w:r>
        <w:rPr>
          <w:rFonts w:ascii="Times New Roman" w:hAnsi="Times New Roman" w:eastAsia="黑体" w:cs="Times New Roman"/>
          <w:bCs/>
        </w:rPr>
        <w:t>8</w:t>
      </w:r>
      <w:r>
        <w:rPr>
          <w:rFonts w:hint="eastAsia" w:ascii="Times New Roman" w:hAnsi="Times New Roman" w:eastAsia="黑体" w:cs="Times New Roman"/>
          <w:bCs/>
        </w:rPr>
        <w:t>条　他国政府</w:t>
      </w:r>
      <w:r>
        <w:rPr>
          <w:rFonts w:hint="eastAsia" w:ascii="Times New Roman" w:hAnsi="Times New Roman" w:eastAsia="黑体" w:cs="Times New Roman"/>
          <w:bCs/>
          <w:strike/>
        </w:rPr>
        <w:t>代</w:t>
      </w:r>
      <w:r>
        <w:rPr>
          <w:rFonts w:hint="eastAsia" w:ascii="Times New Roman" w:hAnsi="Times New Roman" w:eastAsia="黑体" w:cs="Times New Roman"/>
          <w:bCs/>
        </w:rPr>
        <w:t>签发或签署证书</w:t>
      </w:r>
      <w:r>
        <w:rPr>
          <w:rFonts w:hint="eastAsia" w:ascii="宋体" w:hAnsi="宋体" w:eastAsia="宋体" w:cs="宋体"/>
          <w:bCs/>
        </w:rPr>
        <w:t>”</w:t>
      </w:r>
      <w:r>
        <w:tab/>
      </w:r>
      <w:r>
        <w:fldChar w:fldCharType="begin"/>
      </w:r>
      <w:r>
        <w:instrText xml:space="preserve"> PAGEREF _Toc7972 \h </w:instrText>
      </w:r>
      <w:r>
        <w:fldChar w:fldCharType="separate"/>
      </w:r>
      <w:r>
        <w:t>5</w:t>
      </w:r>
      <w:r>
        <w:fldChar w:fldCharType="end"/>
      </w:r>
      <w:r>
        <w:fldChar w:fldCharType="end"/>
      </w:r>
    </w:p>
    <w:p>
      <w:pPr>
        <w:pStyle w:val="17"/>
        <w:tabs>
          <w:tab w:val="right" w:leader="dot" w:pos="8640"/>
        </w:tabs>
      </w:pPr>
      <w:r>
        <w:fldChar w:fldCharType="begin"/>
      </w:r>
      <w:r>
        <w:instrText xml:space="preserve"> HYPERLINK \l "_Toc12262" </w:instrText>
      </w:r>
      <w:r>
        <w:fldChar w:fldCharType="separate"/>
      </w:r>
      <w:r>
        <w:rPr>
          <w:rFonts w:hint="eastAsia" w:ascii="Times New Roman" w:hAnsi="Times New Roman" w:eastAsia="黑体" w:cs="Times New Roman"/>
          <w:bCs/>
        </w:rPr>
        <w:t>第</w:t>
      </w:r>
      <w:r>
        <w:rPr>
          <w:rFonts w:ascii="Times New Roman" w:hAnsi="Times New Roman" w:eastAsia="黑体" w:cs="Times New Roman"/>
          <w:bCs/>
        </w:rPr>
        <w:t>9</w:t>
      </w:r>
      <w:r>
        <w:rPr>
          <w:rFonts w:hint="eastAsia" w:ascii="Times New Roman" w:hAnsi="Times New Roman" w:eastAsia="黑体" w:cs="Times New Roman"/>
          <w:bCs/>
        </w:rPr>
        <w:t>条　证书格式</w:t>
      </w:r>
      <w:r>
        <w:tab/>
      </w:r>
      <w:r>
        <w:fldChar w:fldCharType="begin"/>
      </w:r>
      <w:r>
        <w:instrText xml:space="preserve"> PAGEREF _Toc12262 \h </w:instrText>
      </w:r>
      <w:r>
        <w:fldChar w:fldCharType="separate"/>
      </w:r>
      <w:r>
        <w:t>5</w:t>
      </w:r>
      <w:r>
        <w:fldChar w:fldCharType="end"/>
      </w:r>
      <w:r>
        <w:fldChar w:fldCharType="end"/>
      </w:r>
    </w:p>
    <w:p>
      <w:pPr>
        <w:pStyle w:val="21"/>
        <w:tabs>
          <w:tab w:val="right" w:leader="dot" w:pos="8640"/>
        </w:tabs>
      </w:pPr>
      <w:r>
        <w:fldChar w:fldCharType="begin"/>
      </w:r>
      <w:r>
        <w:instrText xml:space="preserve"> HYPERLINK \l "_Toc1342" </w:instrText>
      </w:r>
      <w:r>
        <w:fldChar w:fldCharType="separate"/>
      </w:r>
      <w:r>
        <w:rPr>
          <w:rFonts w:ascii="宋体" w:hAnsi="宋体" w:cs="宋体"/>
        </w:rPr>
        <w:t xml:space="preserve">Ⅲ  </w:t>
      </w:r>
      <w:r>
        <w:t>对所有船舶机器处所的要求</w:t>
      </w:r>
      <w:r>
        <w:tab/>
      </w:r>
      <w:r>
        <w:fldChar w:fldCharType="begin"/>
      </w:r>
      <w:r>
        <w:instrText xml:space="preserve"> PAGEREF _Toc1342 \h </w:instrText>
      </w:r>
      <w:r>
        <w:fldChar w:fldCharType="separate"/>
      </w:r>
      <w:r>
        <w:t>5</w:t>
      </w:r>
      <w:r>
        <w:fldChar w:fldCharType="end"/>
      </w:r>
      <w:r>
        <w:fldChar w:fldCharType="end"/>
      </w:r>
    </w:p>
    <w:p>
      <w:pPr>
        <w:pStyle w:val="21"/>
        <w:tabs>
          <w:tab w:val="right" w:leader="dot" w:pos="8640"/>
        </w:tabs>
      </w:pPr>
      <w:r>
        <w:fldChar w:fldCharType="begin"/>
      </w:r>
      <w:r>
        <w:instrText xml:space="preserve"> HYPERLINK \l "_Toc24846" </w:instrText>
      </w:r>
      <w:r>
        <w:fldChar w:fldCharType="separate"/>
      </w:r>
      <w:r>
        <w:t>A部分  结    构</w:t>
      </w:r>
      <w:r>
        <w:tab/>
      </w:r>
      <w:r>
        <w:fldChar w:fldCharType="begin"/>
      </w:r>
      <w:r>
        <w:instrText xml:space="preserve"> PAGEREF _Toc24846 \h </w:instrText>
      </w:r>
      <w:r>
        <w:fldChar w:fldCharType="separate"/>
      </w:r>
      <w:r>
        <w:t>5</w:t>
      </w:r>
      <w:r>
        <w:fldChar w:fldCharType="end"/>
      </w:r>
      <w:r>
        <w:fldChar w:fldCharType="end"/>
      </w:r>
    </w:p>
    <w:p>
      <w:pPr>
        <w:pStyle w:val="17"/>
        <w:tabs>
          <w:tab w:val="right" w:leader="dot" w:pos="8640"/>
        </w:tabs>
      </w:pPr>
      <w:r>
        <w:fldChar w:fldCharType="begin"/>
      </w:r>
      <w:r>
        <w:instrText xml:space="preserve"> HYPERLINK \l "_Toc8706" </w:instrText>
      </w:r>
      <w:r>
        <w:fldChar w:fldCharType="separate"/>
      </w:r>
      <w:r>
        <w:rPr>
          <w:rFonts w:ascii="Times New Roman" w:hAnsi="Times New Roman" w:eastAsia="黑体" w:cs="Times New Roman"/>
          <w:bCs/>
        </w:rPr>
        <w:t>第12A条</w:t>
      </w:r>
      <w:r>
        <w:rPr>
          <w:rFonts w:hint="eastAsia" w:ascii="Times New Roman" w:hAnsi="Times New Roman" w:eastAsia="黑体" w:cs="Times New Roman"/>
          <w:bCs/>
        </w:rPr>
        <w:t xml:space="preserve">  </w:t>
      </w:r>
      <w:r>
        <w:rPr>
          <w:rFonts w:ascii="Times New Roman" w:hAnsi="Times New Roman" w:eastAsia="黑体" w:cs="Times New Roman"/>
          <w:bCs/>
        </w:rPr>
        <w:t>燃油舱保护</w:t>
      </w:r>
      <w:r>
        <w:tab/>
      </w:r>
      <w:r>
        <w:fldChar w:fldCharType="begin"/>
      </w:r>
      <w:r>
        <w:instrText xml:space="preserve"> PAGEREF _Toc8706 \h </w:instrText>
      </w:r>
      <w:r>
        <w:fldChar w:fldCharType="separate"/>
      </w:r>
      <w:r>
        <w:t>5</w:t>
      </w:r>
      <w:r>
        <w:fldChar w:fldCharType="end"/>
      </w:r>
      <w:r>
        <w:fldChar w:fldCharType="end"/>
      </w:r>
    </w:p>
    <w:p>
      <w:pPr>
        <w:pStyle w:val="21"/>
        <w:tabs>
          <w:tab w:val="right" w:leader="dot" w:pos="8640"/>
        </w:tabs>
      </w:pPr>
      <w:r>
        <w:fldChar w:fldCharType="begin"/>
      </w:r>
      <w:r>
        <w:instrText xml:space="preserve"> HYPERLINK \l "_Toc27179" </w:instrText>
      </w:r>
      <w:r>
        <w:fldChar w:fldCharType="separate"/>
      </w:r>
      <w:r>
        <w:t>C部分  操作性排油的控制</w:t>
      </w:r>
      <w:r>
        <w:tab/>
      </w:r>
      <w:r>
        <w:fldChar w:fldCharType="begin"/>
      </w:r>
      <w:r>
        <w:instrText xml:space="preserve"> PAGEREF _Toc27179 \h </w:instrText>
      </w:r>
      <w:r>
        <w:fldChar w:fldCharType="separate"/>
      </w:r>
      <w:r>
        <w:t>5</w:t>
      </w:r>
      <w:r>
        <w:fldChar w:fldCharType="end"/>
      </w:r>
      <w:r>
        <w:fldChar w:fldCharType="end"/>
      </w:r>
    </w:p>
    <w:p>
      <w:pPr>
        <w:pStyle w:val="17"/>
        <w:tabs>
          <w:tab w:val="right" w:leader="dot" w:pos="8640"/>
        </w:tabs>
      </w:pPr>
      <w:r>
        <w:fldChar w:fldCharType="begin"/>
      </w:r>
      <w:r>
        <w:instrText xml:space="preserve"> HYPERLINK \l "_Toc6166" </w:instrText>
      </w:r>
      <w:r>
        <w:fldChar w:fldCharType="separate"/>
      </w:r>
      <w:r>
        <w:rPr>
          <w:rFonts w:hint="eastAsia" w:ascii="Times New Roman" w:hAnsi="Times New Roman" w:eastAsia="黑体" w:cs="Times New Roman"/>
          <w:bCs/>
        </w:rPr>
        <w:t>第17条　《油类记录簿》第I部分 - 机器处所的作业</w:t>
      </w:r>
      <w:r>
        <w:tab/>
      </w:r>
      <w:r>
        <w:fldChar w:fldCharType="begin"/>
      </w:r>
      <w:r>
        <w:instrText xml:space="preserve"> PAGEREF _Toc6166 \h </w:instrText>
      </w:r>
      <w:r>
        <w:fldChar w:fldCharType="separate"/>
      </w:r>
      <w:r>
        <w:t>5</w:t>
      </w:r>
      <w:r>
        <w:fldChar w:fldCharType="end"/>
      </w:r>
      <w:r>
        <w:fldChar w:fldCharType="end"/>
      </w:r>
    </w:p>
    <w:p>
      <w:pPr>
        <w:pStyle w:val="21"/>
        <w:tabs>
          <w:tab w:val="right" w:leader="dot" w:pos="8640"/>
        </w:tabs>
      </w:pPr>
      <w:r>
        <w:fldChar w:fldCharType="begin"/>
      </w:r>
      <w:r>
        <w:instrText xml:space="preserve"> HYPERLINK \l "_Toc17617" </w:instrText>
      </w:r>
      <w:r>
        <w:fldChar w:fldCharType="separate"/>
      </w:r>
      <w:r>
        <w:t>IV  对油船货物区域的要求</w:t>
      </w:r>
      <w:r>
        <w:tab/>
      </w:r>
      <w:r>
        <w:fldChar w:fldCharType="begin"/>
      </w:r>
      <w:r>
        <w:instrText xml:space="preserve"> PAGEREF _Toc17617 \h </w:instrText>
      </w:r>
      <w:r>
        <w:fldChar w:fldCharType="separate"/>
      </w:r>
      <w:r>
        <w:t>6</w:t>
      </w:r>
      <w:r>
        <w:fldChar w:fldCharType="end"/>
      </w:r>
      <w:r>
        <w:fldChar w:fldCharType="end"/>
      </w:r>
    </w:p>
    <w:p>
      <w:pPr>
        <w:pStyle w:val="21"/>
        <w:tabs>
          <w:tab w:val="right" w:leader="dot" w:pos="8640"/>
        </w:tabs>
      </w:pPr>
      <w:r>
        <w:fldChar w:fldCharType="begin"/>
      </w:r>
      <w:r>
        <w:instrText xml:space="preserve"> HYPERLINK \l "_Toc32285" </w:instrText>
      </w:r>
      <w:r>
        <w:fldChar w:fldCharType="separate"/>
      </w:r>
      <w:r>
        <w:t>C部分  操作性排油的控制</w:t>
      </w:r>
      <w:r>
        <w:tab/>
      </w:r>
      <w:r>
        <w:fldChar w:fldCharType="begin"/>
      </w:r>
      <w:r>
        <w:instrText xml:space="preserve"> PAGEREF _Toc32285 \h </w:instrText>
      </w:r>
      <w:r>
        <w:fldChar w:fldCharType="separate"/>
      </w:r>
      <w:r>
        <w:t>6</w:t>
      </w:r>
      <w:r>
        <w:fldChar w:fldCharType="end"/>
      </w:r>
      <w:r>
        <w:fldChar w:fldCharType="end"/>
      </w:r>
    </w:p>
    <w:p>
      <w:pPr>
        <w:pStyle w:val="17"/>
        <w:tabs>
          <w:tab w:val="right" w:leader="dot" w:pos="8640"/>
        </w:tabs>
      </w:pPr>
      <w:r>
        <w:fldChar w:fldCharType="begin"/>
      </w:r>
      <w:r>
        <w:instrText xml:space="preserve"> HYPERLINK \l "_Toc10997" </w:instrText>
      </w:r>
      <w:r>
        <w:fldChar w:fldCharType="separate"/>
      </w:r>
      <w:r>
        <w:rPr>
          <w:rFonts w:hint="eastAsia" w:ascii="Times New Roman" w:hAnsi="Times New Roman" w:eastAsia="黑体" w:cs="Times New Roman"/>
          <w:bCs/>
        </w:rPr>
        <w:t xml:space="preserve">第36条  《油类记录薄》第II部分 </w:t>
      </w:r>
      <w:r>
        <w:rPr>
          <w:rFonts w:ascii="Times New Roman" w:hAnsi="Times New Roman" w:eastAsia="黑体" w:cs="Times New Roman"/>
          <w:bCs/>
        </w:rPr>
        <w:t>–</w:t>
      </w:r>
      <w:r>
        <w:rPr>
          <w:rFonts w:hint="eastAsia" w:ascii="Times New Roman" w:hAnsi="Times New Roman" w:eastAsia="黑体" w:cs="Times New Roman"/>
          <w:bCs/>
        </w:rPr>
        <w:t xml:space="preserve"> 货油/压载作业</w:t>
      </w:r>
      <w:r>
        <w:tab/>
      </w:r>
      <w:r>
        <w:fldChar w:fldCharType="begin"/>
      </w:r>
      <w:r>
        <w:instrText xml:space="preserve"> PAGEREF _Toc10997 \h </w:instrText>
      </w:r>
      <w:r>
        <w:fldChar w:fldCharType="separate"/>
      </w:r>
      <w:r>
        <w:t>6</w:t>
      </w:r>
      <w:r>
        <w:fldChar w:fldCharType="end"/>
      </w:r>
      <w:r>
        <w:fldChar w:fldCharType="end"/>
      </w:r>
    </w:p>
    <w:p>
      <w:pPr>
        <w:pStyle w:val="21"/>
        <w:tabs>
          <w:tab w:val="right" w:leader="dot" w:pos="8640"/>
        </w:tabs>
      </w:pPr>
      <w:r>
        <w:fldChar w:fldCharType="begin"/>
      </w:r>
      <w:r>
        <w:instrText xml:space="preserve"> HYPERLINK \l "_Toc5289" </w:instrText>
      </w:r>
      <w:r>
        <w:fldChar w:fldCharType="separate"/>
      </w:r>
      <w:r>
        <w:t>IX  在</w:t>
      </w:r>
      <w:r>
        <w:rPr>
          <w:strike/>
        </w:rPr>
        <w:t>南极区域</w:t>
      </w:r>
      <w:r>
        <w:t>极地水域使用或载运油类的特殊要求</w:t>
      </w:r>
      <w:r>
        <w:rPr>
          <w:rFonts w:hint="eastAsia"/>
        </w:rPr>
        <w:t>”</w:t>
      </w:r>
      <w:r>
        <w:tab/>
      </w:r>
      <w:r>
        <w:fldChar w:fldCharType="begin"/>
      </w:r>
      <w:r>
        <w:instrText xml:space="preserve"> PAGEREF _Toc5289 \h </w:instrText>
      </w:r>
      <w:r>
        <w:fldChar w:fldCharType="separate"/>
      </w:r>
      <w:r>
        <w:t>7</w:t>
      </w:r>
      <w:r>
        <w:fldChar w:fldCharType="end"/>
      </w:r>
      <w:r>
        <w:fldChar w:fldCharType="end"/>
      </w:r>
    </w:p>
    <w:p>
      <w:pPr>
        <w:pStyle w:val="17"/>
        <w:tabs>
          <w:tab w:val="right" w:leader="dot" w:pos="8640"/>
        </w:tabs>
      </w:pPr>
      <w:r>
        <w:fldChar w:fldCharType="begin"/>
      </w:r>
      <w:r>
        <w:instrText xml:space="preserve"> HYPERLINK \l "_Toc22408" </w:instrText>
      </w:r>
      <w:r>
        <w:fldChar w:fldCharType="separate"/>
      </w:r>
      <w:r>
        <w:rPr>
          <w:rFonts w:hint="eastAsia" w:ascii="宋体" w:hAnsi="宋体" w:eastAsia="宋体" w:cs="宋体"/>
          <w:bCs/>
        </w:rPr>
        <w:t>“</w:t>
      </w:r>
      <w:r>
        <w:rPr>
          <w:rFonts w:ascii="Times New Roman" w:hAnsi="Times New Roman" w:eastAsia="黑体" w:cs="Times New Roman"/>
          <w:bCs/>
        </w:rPr>
        <w:t>第43A条</w:t>
      </w:r>
      <w:r>
        <w:rPr>
          <w:rFonts w:hint="eastAsia" w:ascii="Times New Roman" w:hAnsi="Times New Roman" w:eastAsia="黑体" w:cs="Times New Roman"/>
          <w:bCs/>
        </w:rPr>
        <w:t xml:space="preserve">  </w:t>
      </w:r>
      <w:r>
        <w:rPr>
          <w:rFonts w:ascii="Times New Roman" w:hAnsi="Times New Roman" w:eastAsia="黑体" w:cs="Times New Roman"/>
          <w:bCs/>
        </w:rPr>
        <w:t>在北极水域使用和载运油类作为燃料的特殊要求</w:t>
      </w:r>
      <w:r>
        <w:tab/>
      </w:r>
      <w:r>
        <w:fldChar w:fldCharType="begin"/>
      </w:r>
      <w:r>
        <w:instrText xml:space="preserve"> PAGEREF _Toc22408 \h </w:instrText>
      </w:r>
      <w:r>
        <w:fldChar w:fldCharType="separate"/>
      </w:r>
      <w:r>
        <w:t>7</w:t>
      </w:r>
      <w:r>
        <w:fldChar w:fldCharType="end"/>
      </w:r>
      <w:r>
        <w:fldChar w:fldCharType="end"/>
      </w:r>
    </w:p>
    <w:p>
      <w:pPr>
        <w:pStyle w:val="16"/>
        <w:tabs>
          <w:tab w:val="right" w:leader="dot" w:pos="8640"/>
          <w:tab w:val="clear" w:pos="8303"/>
        </w:tabs>
      </w:pPr>
      <w:r>
        <w:fldChar w:fldCharType="begin"/>
      </w:r>
      <w:r>
        <w:instrText xml:space="preserve"> HYPERLINK \l "_Toc23786" </w:instrText>
      </w:r>
      <w:r>
        <w:fldChar w:fldCharType="separate"/>
      </w:r>
      <w:r>
        <w:rPr>
          <w:rFonts w:eastAsia="黑体"/>
          <w:szCs w:val="32"/>
          <w:lang w:bidi="ar"/>
        </w:rPr>
        <w:t>附录</w:t>
      </w:r>
      <w:r>
        <w:rPr>
          <w:rFonts w:hint="eastAsia" w:hAnsi="宋体" w:cs="宋体"/>
          <w:szCs w:val="32"/>
          <w:lang w:bidi="ar"/>
        </w:rPr>
        <w:t>Ⅳ</w:t>
      </w:r>
      <w:r>
        <w:rPr>
          <w:rFonts w:eastAsia="黑体"/>
          <w:szCs w:val="32"/>
          <w:lang w:bidi="ar"/>
        </w:rPr>
        <w:t xml:space="preserve">  </w:t>
      </w:r>
      <w:r>
        <w:rPr>
          <w:rFonts w:hint="eastAsia" w:eastAsia="黑体"/>
          <w:szCs w:val="32"/>
          <w:lang w:bidi="ar"/>
        </w:rPr>
        <w:t>国际</w:t>
      </w:r>
      <w:r>
        <w:rPr>
          <w:rFonts w:eastAsia="黑体"/>
          <w:szCs w:val="32"/>
          <w:lang w:bidi="ar"/>
        </w:rPr>
        <w:t>无人非自航</w:t>
      </w:r>
      <w:r>
        <w:rPr>
          <w:rFonts w:hint="eastAsia" w:eastAsia="黑体"/>
          <w:szCs w:val="32"/>
          <w:lang w:bidi="ar"/>
        </w:rPr>
        <w:t>（UNSP）</w:t>
      </w:r>
      <w:r>
        <w:rPr>
          <w:rFonts w:eastAsia="黑体"/>
          <w:szCs w:val="32"/>
          <w:lang w:bidi="ar"/>
        </w:rPr>
        <w:t>驳船</w:t>
      </w:r>
      <w:r>
        <w:rPr>
          <w:rFonts w:hint="eastAsia" w:eastAsia="黑体"/>
          <w:szCs w:val="32"/>
          <w:lang w:bidi="ar"/>
        </w:rPr>
        <w:t>防止油污</w:t>
      </w:r>
      <w:r>
        <w:rPr>
          <w:rFonts w:eastAsia="黑体"/>
          <w:szCs w:val="32"/>
          <w:lang w:bidi="ar"/>
        </w:rPr>
        <w:t>免除证书格式</w:t>
      </w:r>
      <w:r>
        <w:tab/>
      </w:r>
      <w:r>
        <w:fldChar w:fldCharType="begin"/>
      </w:r>
      <w:r>
        <w:instrText xml:space="preserve"> PAGEREF _Toc23786 \h </w:instrText>
      </w:r>
      <w:r>
        <w:fldChar w:fldCharType="separate"/>
      </w:r>
      <w:r>
        <w:t>8</w:t>
      </w:r>
      <w:r>
        <w:fldChar w:fldCharType="end"/>
      </w:r>
      <w:r>
        <w:fldChar w:fldCharType="end"/>
      </w:r>
    </w:p>
    <w:p>
      <w:pPr>
        <w:pStyle w:val="16"/>
        <w:tabs>
          <w:tab w:val="right" w:leader="dot" w:pos="8640"/>
          <w:tab w:val="clear" w:pos="8303"/>
        </w:tabs>
      </w:pPr>
      <w:r>
        <w:fldChar w:fldCharType="begin"/>
      </w:r>
      <w:r>
        <w:instrText xml:space="preserve"> HYPERLINK \l "_Toc14579" </w:instrText>
      </w:r>
      <w:r>
        <w:fldChar w:fldCharType="separate"/>
      </w:r>
      <w:r>
        <w:t>第2章  防止散装运输有毒液体物质污染规则</w:t>
      </w:r>
      <w:r>
        <w:tab/>
      </w:r>
      <w:r>
        <w:fldChar w:fldCharType="begin"/>
      </w:r>
      <w:r>
        <w:instrText xml:space="preserve"> PAGEREF _Toc14579 \h </w:instrText>
      </w:r>
      <w:r>
        <w:fldChar w:fldCharType="separate"/>
      </w:r>
      <w:r>
        <w:t>9</w:t>
      </w:r>
      <w:r>
        <w:fldChar w:fldCharType="end"/>
      </w:r>
      <w:r>
        <w:fldChar w:fldCharType="end"/>
      </w:r>
    </w:p>
    <w:p>
      <w:pPr>
        <w:pStyle w:val="21"/>
        <w:tabs>
          <w:tab w:val="right" w:leader="dot" w:pos="8640"/>
        </w:tabs>
      </w:pPr>
      <w:r>
        <w:fldChar w:fldCharType="begin"/>
      </w:r>
      <w:r>
        <w:instrText xml:space="preserve"> HYPERLINK \l "_Toc7608" </w:instrText>
      </w:r>
      <w:r>
        <w:fldChar w:fldCharType="separate"/>
      </w:r>
      <w:r>
        <w:t>I  总  则</w:t>
      </w:r>
      <w:r>
        <w:tab/>
      </w:r>
      <w:r>
        <w:fldChar w:fldCharType="begin"/>
      </w:r>
      <w:r>
        <w:instrText xml:space="preserve"> PAGEREF _Toc7608 \h </w:instrText>
      </w:r>
      <w:r>
        <w:fldChar w:fldCharType="separate"/>
      </w:r>
      <w:r>
        <w:t>9</w:t>
      </w:r>
      <w:r>
        <w:fldChar w:fldCharType="end"/>
      </w:r>
      <w:r>
        <w:fldChar w:fldCharType="end"/>
      </w:r>
    </w:p>
    <w:p>
      <w:pPr>
        <w:pStyle w:val="17"/>
        <w:tabs>
          <w:tab w:val="right" w:leader="dot" w:pos="8640"/>
        </w:tabs>
      </w:pPr>
      <w:r>
        <w:fldChar w:fldCharType="begin"/>
      </w:r>
      <w:r>
        <w:instrText xml:space="preserve"> HYPERLINK \l "_Toc3198" </w:instrText>
      </w:r>
      <w:r>
        <w:fldChar w:fldCharType="separate"/>
      </w:r>
      <w:r>
        <w:rPr>
          <w:rFonts w:ascii="Times New Roman" w:hAnsi="Times New Roman" w:eastAsia="黑体" w:cs="Times New Roman"/>
          <w:bCs/>
        </w:rPr>
        <w:t>第1条   定  义</w:t>
      </w:r>
      <w:r>
        <w:tab/>
      </w:r>
      <w:r>
        <w:fldChar w:fldCharType="begin"/>
      </w:r>
      <w:r>
        <w:instrText xml:space="preserve"> PAGEREF _Toc3198 \h </w:instrText>
      </w:r>
      <w:r>
        <w:fldChar w:fldCharType="separate"/>
      </w:r>
      <w:r>
        <w:t>9</w:t>
      </w:r>
      <w:r>
        <w:fldChar w:fldCharType="end"/>
      </w:r>
      <w:r>
        <w:fldChar w:fldCharType="end"/>
      </w:r>
    </w:p>
    <w:p>
      <w:pPr>
        <w:pStyle w:val="17"/>
        <w:tabs>
          <w:tab w:val="right" w:leader="dot" w:pos="8640"/>
        </w:tabs>
      </w:pPr>
      <w:r>
        <w:fldChar w:fldCharType="begin"/>
      </w:r>
      <w:r>
        <w:instrText xml:space="preserve"> HYPERLINK \l "_Toc4570" </w:instrText>
      </w:r>
      <w:r>
        <w:fldChar w:fldCharType="separate"/>
      </w:r>
      <w:r>
        <w:rPr>
          <w:rFonts w:ascii="Times New Roman" w:hAnsi="Times New Roman" w:eastAsia="黑体" w:cs="Times New Roman"/>
          <w:bCs/>
        </w:rPr>
        <w:t>第4条  免  除</w:t>
      </w:r>
      <w:r>
        <w:tab/>
      </w:r>
      <w:r>
        <w:fldChar w:fldCharType="begin"/>
      </w:r>
      <w:r>
        <w:instrText xml:space="preserve"> PAGEREF _Toc4570 \h </w:instrText>
      </w:r>
      <w:r>
        <w:fldChar w:fldCharType="separate"/>
      </w:r>
      <w:r>
        <w:t>9</w:t>
      </w:r>
      <w:r>
        <w:fldChar w:fldCharType="end"/>
      </w:r>
      <w:r>
        <w:fldChar w:fldCharType="end"/>
      </w:r>
    </w:p>
    <w:p>
      <w:pPr>
        <w:pStyle w:val="21"/>
        <w:tabs>
          <w:tab w:val="right" w:leader="dot" w:pos="8640"/>
        </w:tabs>
      </w:pPr>
      <w:r>
        <w:fldChar w:fldCharType="begin"/>
      </w:r>
      <w:r>
        <w:instrText xml:space="preserve"> HYPERLINK \l "_Toc20969" </w:instrText>
      </w:r>
      <w:r>
        <w:fldChar w:fldCharType="separate"/>
      </w:r>
      <w:r>
        <w:t>V  有毒液体物质残余物的操作性排放</w:t>
      </w:r>
      <w:r>
        <w:tab/>
      </w:r>
      <w:r>
        <w:fldChar w:fldCharType="begin"/>
      </w:r>
      <w:r>
        <w:instrText xml:space="preserve"> PAGEREF _Toc20969 \h </w:instrText>
      </w:r>
      <w:r>
        <w:fldChar w:fldCharType="separate"/>
      </w:r>
      <w:r>
        <w:t>9</w:t>
      </w:r>
      <w:r>
        <w:fldChar w:fldCharType="end"/>
      </w:r>
      <w:r>
        <w:fldChar w:fldCharType="end"/>
      </w:r>
    </w:p>
    <w:p>
      <w:pPr>
        <w:pStyle w:val="17"/>
        <w:tabs>
          <w:tab w:val="right" w:leader="dot" w:pos="8640"/>
        </w:tabs>
      </w:pPr>
      <w:r>
        <w:fldChar w:fldCharType="begin"/>
      </w:r>
      <w:r>
        <w:instrText xml:space="preserve"> HYPERLINK \l "_Toc4552" </w:instrText>
      </w:r>
      <w:r>
        <w:fldChar w:fldCharType="separate"/>
      </w:r>
      <w:r>
        <w:rPr>
          <w:rFonts w:hint="eastAsia" w:ascii="Times New Roman" w:hAnsi="Times New Roman" w:eastAsia="黑体" w:cs="Times New Roman"/>
          <w:bCs/>
        </w:rPr>
        <w:t xml:space="preserve">第13条   </w:t>
      </w:r>
      <w:r>
        <w:rPr>
          <w:rFonts w:ascii="Times New Roman" w:hAnsi="Times New Roman" w:eastAsia="黑体" w:cs="Times New Roman"/>
          <w:bCs/>
        </w:rPr>
        <w:t>有毒液体物质残余物</w:t>
      </w:r>
      <w:r>
        <w:rPr>
          <w:rFonts w:hint="eastAsia" w:ascii="Times New Roman" w:hAnsi="Times New Roman" w:eastAsia="黑体" w:cs="Times New Roman"/>
          <w:bCs/>
        </w:rPr>
        <w:t>的</w:t>
      </w:r>
      <w:r>
        <w:rPr>
          <w:rFonts w:ascii="Times New Roman" w:hAnsi="Times New Roman" w:eastAsia="黑体" w:cs="Times New Roman"/>
          <w:bCs/>
        </w:rPr>
        <w:t>排放控制</w:t>
      </w:r>
      <w:r>
        <w:tab/>
      </w:r>
      <w:r>
        <w:fldChar w:fldCharType="begin"/>
      </w:r>
      <w:r>
        <w:instrText xml:space="preserve"> PAGEREF _Toc4552 \h </w:instrText>
      </w:r>
      <w:r>
        <w:fldChar w:fldCharType="separate"/>
      </w:r>
      <w:r>
        <w:t>9</w:t>
      </w:r>
      <w:r>
        <w:fldChar w:fldCharType="end"/>
      </w:r>
      <w:r>
        <w:fldChar w:fldCharType="end"/>
      </w:r>
    </w:p>
    <w:p>
      <w:pPr>
        <w:pStyle w:val="17"/>
        <w:tabs>
          <w:tab w:val="right" w:leader="dot" w:pos="8640"/>
        </w:tabs>
      </w:pPr>
      <w:r>
        <w:fldChar w:fldCharType="begin"/>
      </w:r>
      <w:r>
        <w:instrText xml:space="preserve"> HYPERLINK \l "_Toc16566" </w:instrText>
      </w:r>
      <w:r>
        <w:fldChar w:fldCharType="separate"/>
      </w:r>
      <w:r>
        <w:rPr>
          <w:rFonts w:ascii="Times New Roman" w:hAnsi="Times New Roman" w:eastAsia="黑体" w:cs="Times New Roman"/>
          <w:bCs/>
        </w:rPr>
        <w:t>第15条   货物记录簿</w:t>
      </w:r>
      <w:r>
        <w:tab/>
      </w:r>
      <w:r>
        <w:fldChar w:fldCharType="begin"/>
      </w:r>
      <w:r>
        <w:instrText xml:space="preserve"> PAGEREF _Toc16566 \h </w:instrText>
      </w:r>
      <w:r>
        <w:fldChar w:fldCharType="separate"/>
      </w:r>
      <w:r>
        <w:t>11</w:t>
      </w:r>
      <w:r>
        <w:fldChar w:fldCharType="end"/>
      </w:r>
      <w:r>
        <w:fldChar w:fldCharType="end"/>
      </w:r>
    </w:p>
    <w:p>
      <w:pPr>
        <w:pStyle w:val="17"/>
        <w:tabs>
          <w:tab w:val="right" w:leader="dot" w:pos="8640"/>
        </w:tabs>
      </w:pPr>
      <w:r>
        <w:fldChar w:fldCharType="begin"/>
      </w:r>
      <w:r>
        <w:instrText xml:space="preserve"> HYPERLINK \l "_Toc23607" </w:instrText>
      </w:r>
      <w:r>
        <w:fldChar w:fldCharType="separate"/>
      </w:r>
      <w:r>
        <w:rPr>
          <w:rFonts w:ascii="Times New Roman" w:hAnsi="Times New Roman" w:eastAsia="黑体" w:cs="Times New Roman"/>
          <w:szCs w:val="32"/>
          <w:lang w:bidi="ar"/>
        </w:rPr>
        <w:t>附录Ⅰ 有毒液体物质的分类指南</w:t>
      </w:r>
      <w:r>
        <w:rPr>
          <w:rFonts w:hint="eastAsia" w:ascii="宋体" w:hAnsi="宋体" w:eastAsia="宋体" w:cs="宋体"/>
          <w:bCs/>
        </w:rPr>
        <w:t>”</w:t>
      </w:r>
      <w:r>
        <w:tab/>
      </w:r>
      <w:r>
        <w:fldChar w:fldCharType="begin"/>
      </w:r>
      <w:r>
        <w:instrText xml:space="preserve"> PAGEREF _Toc23607 \h </w:instrText>
      </w:r>
      <w:r>
        <w:fldChar w:fldCharType="separate"/>
      </w:r>
      <w:r>
        <w:t>13</w:t>
      </w:r>
      <w:r>
        <w:fldChar w:fldCharType="end"/>
      </w:r>
      <w:r>
        <w:fldChar w:fldCharType="end"/>
      </w:r>
    </w:p>
    <w:p>
      <w:pPr>
        <w:pStyle w:val="16"/>
        <w:tabs>
          <w:tab w:val="right" w:leader="dot" w:pos="8640"/>
          <w:tab w:val="clear" w:pos="8303"/>
        </w:tabs>
      </w:pPr>
      <w:r>
        <w:fldChar w:fldCharType="begin"/>
      </w:r>
      <w:r>
        <w:instrText xml:space="preserve"> HYPERLINK \l "_Toc29955" </w:instrText>
      </w:r>
      <w:r>
        <w:fldChar w:fldCharType="separate"/>
      </w:r>
      <w:r>
        <w:t>第4章  防止船舶生活污水污染规则</w:t>
      </w:r>
      <w:r>
        <w:tab/>
      </w:r>
      <w:r>
        <w:fldChar w:fldCharType="begin"/>
      </w:r>
      <w:r>
        <w:instrText xml:space="preserve"> PAGEREF _Toc29955 \h </w:instrText>
      </w:r>
      <w:r>
        <w:fldChar w:fldCharType="separate"/>
      </w:r>
      <w:r>
        <w:t>14</w:t>
      </w:r>
      <w:r>
        <w:fldChar w:fldCharType="end"/>
      </w:r>
      <w:r>
        <w:fldChar w:fldCharType="end"/>
      </w:r>
    </w:p>
    <w:p>
      <w:pPr>
        <w:pStyle w:val="21"/>
        <w:tabs>
          <w:tab w:val="right" w:leader="dot" w:pos="8640"/>
        </w:tabs>
      </w:pPr>
      <w:r>
        <w:fldChar w:fldCharType="begin"/>
      </w:r>
      <w:r>
        <w:instrText xml:space="preserve"> HYPERLINK \l "_Toc31782" </w:instrText>
      </w:r>
      <w:r>
        <w:fldChar w:fldCharType="separate"/>
      </w:r>
      <w:r>
        <w:rPr>
          <w:rFonts w:ascii="宋体" w:hAnsi="宋体" w:cs="宋体"/>
        </w:rPr>
        <w:t>Ⅰ</w:t>
      </w:r>
      <w:r>
        <w:t xml:space="preserve">  总    则</w:t>
      </w:r>
      <w:r>
        <w:tab/>
      </w:r>
      <w:r>
        <w:fldChar w:fldCharType="begin"/>
      </w:r>
      <w:r>
        <w:instrText xml:space="preserve"> PAGEREF _Toc31782 \h </w:instrText>
      </w:r>
      <w:r>
        <w:fldChar w:fldCharType="separate"/>
      </w:r>
      <w:r>
        <w:t>14</w:t>
      </w:r>
      <w:r>
        <w:fldChar w:fldCharType="end"/>
      </w:r>
      <w:r>
        <w:fldChar w:fldCharType="end"/>
      </w:r>
    </w:p>
    <w:p>
      <w:pPr>
        <w:pStyle w:val="17"/>
        <w:tabs>
          <w:tab w:val="right" w:leader="dot" w:pos="8640"/>
        </w:tabs>
      </w:pPr>
      <w:r>
        <w:fldChar w:fldCharType="begin"/>
      </w:r>
      <w:r>
        <w:instrText xml:space="preserve"> HYPERLINK \l "_Toc30683" </w:instrText>
      </w:r>
      <w:r>
        <w:fldChar w:fldCharType="separate"/>
      </w:r>
      <w:r>
        <w:rPr>
          <w:rFonts w:hint="eastAsia" w:ascii="Times New Roman" w:hAnsi="Times New Roman" w:eastAsia="黑体"/>
          <w:bCs/>
        </w:rPr>
        <w:t>第1条  定    义</w:t>
      </w:r>
      <w:r>
        <w:tab/>
      </w:r>
      <w:r>
        <w:fldChar w:fldCharType="begin"/>
      </w:r>
      <w:r>
        <w:instrText xml:space="preserve"> PAGEREF _Toc30683 \h </w:instrText>
      </w:r>
      <w:r>
        <w:fldChar w:fldCharType="separate"/>
      </w:r>
      <w:r>
        <w:t>14</w:t>
      </w:r>
      <w:r>
        <w:fldChar w:fldCharType="end"/>
      </w:r>
      <w:r>
        <w:fldChar w:fldCharType="end"/>
      </w:r>
    </w:p>
    <w:p>
      <w:pPr>
        <w:pStyle w:val="17"/>
        <w:tabs>
          <w:tab w:val="right" w:leader="dot" w:pos="8640"/>
        </w:tabs>
      </w:pPr>
      <w:r>
        <w:fldChar w:fldCharType="begin"/>
      </w:r>
      <w:r>
        <w:instrText xml:space="preserve"> HYPERLINK \l "_Toc79" </w:instrText>
      </w:r>
      <w:r>
        <w:fldChar w:fldCharType="separate"/>
      </w:r>
      <w:r>
        <w:rPr>
          <w:rFonts w:hint="eastAsia" w:ascii="Times New Roman" w:hAnsi="Times New Roman" w:eastAsia="黑体"/>
          <w:bCs/>
        </w:rPr>
        <w:t>第3条  例外和免除</w:t>
      </w:r>
      <w:r>
        <w:rPr>
          <w:rFonts w:hint="eastAsia" w:hAnsi="宋体"/>
          <w:bCs/>
        </w:rPr>
        <w:t>”</w:t>
      </w:r>
      <w:r>
        <w:tab/>
      </w:r>
      <w:r>
        <w:fldChar w:fldCharType="begin"/>
      </w:r>
      <w:r>
        <w:instrText xml:space="preserve"> PAGEREF _Toc79 \h </w:instrText>
      </w:r>
      <w:r>
        <w:fldChar w:fldCharType="separate"/>
      </w:r>
      <w:r>
        <w:t>14</w:t>
      </w:r>
      <w:r>
        <w:fldChar w:fldCharType="end"/>
      </w:r>
      <w:r>
        <w:fldChar w:fldCharType="end"/>
      </w:r>
    </w:p>
    <w:p>
      <w:pPr>
        <w:pStyle w:val="17"/>
        <w:tabs>
          <w:tab w:val="right" w:leader="dot" w:pos="8640"/>
        </w:tabs>
      </w:pPr>
      <w:r>
        <w:fldChar w:fldCharType="begin"/>
      </w:r>
      <w:r>
        <w:instrText xml:space="preserve"> HYPERLINK \l "_Toc10089" </w:instrText>
      </w:r>
      <w:r>
        <w:fldChar w:fldCharType="separate"/>
      </w:r>
      <w:r>
        <w:rPr>
          <w:rFonts w:hint="eastAsia" w:ascii="Times New Roman" w:hAnsi="Times New Roman" w:eastAsia="黑体"/>
          <w:bCs/>
        </w:rPr>
        <w:t>第6条  他国政府签发或签署证书</w:t>
      </w:r>
      <w:r>
        <w:tab/>
      </w:r>
      <w:r>
        <w:fldChar w:fldCharType="begin"/>
      </w:r>
      <w:r>
        <w:instrText xml:space="preserve"> PAGEREF _Toc10089 \h </w:instrText>
      </w:r>
      <w:r>
        <w:fldChar w:fldCharType="separate"/>
      </w:r>
      <w:r>
        <w:t>14</w:t>
      </w:r>
      <w:r>
        <w:fldChar w:fldCharType="end"/>
      </w:r>
      <w:r>
        <w:fldChar w:fldCharType="end"/>
      </w:r>
    </w:p>
    <w:p>
      <w:pPr>
        <w:pStyle w:val="17"/>
        <w:tabs>
          <w:tab w:val="right" w:leader="dot" w:pos="8640"/>
        </w:tabs>
      </w:pPr>
      <w:r>
        <w:fldChar w:fldCharType="begin"/>
      </w:r>
      <w:r>
        <w:instrText xml:space="preserve"> HYPERLINK \l "_Toc5929" </w:instrText>
      </w:r>
      <w:r>
        <w:fldChar w:fldCharType="separate"/>
      </w:r>
      <w:r>
        <w:rPr>
          <w:rFonts w:hint="eastAsia" w:ascii="Times New Roman" w:hAnsi="Times New Roman" w:eastAsia="黑体"/>
          <w:bCs/>
        </w:rPr>
        <w:t>第</w:t>
      </w:r>
      <w:r>
        <w:rPr>
          <w:rFonts w:hint="eastAsia" w:ascii="Times New Roman" w:hAnsi="Times New Roman" w:eastAsia="黑体"/>
        </w:rPr>
        <w:t>7</w:t>
      </w:r>
      <w:r>
        <w:rPr>
          <w:rFonts w:hint="eastAsia" w:ascii="Times New Roman" w:hAnsi="Times New Roman" w:eastAsia="黑体"/>
          <w:bCs/>
        </w:rPr>
        <w:t>条  证书格式</w:t>
      </w:r>
      <w:r>
        <w:tab/>
      </w:r>
      <w:r>
        <w:fldChar w:fldCharType="begin"/>
      </w:r>
      <w:r>
        <w:instrText xml:space="preserve"> PAGEREF _Toc5929 \h </w:instrText>
      </w:r>
      <w:r>
        <w:fldChar w:fldCharType="separate"/>
      </w:r>
      <w:r>
        <w:t>14</w:t>
      </w:r>
      <w:r>
        <w:fldChar w:fldCharType="end"/>
      </w:r>
      <w:r>
        <w:fldChar w:fldCharType="end"/>
      </w:r>
    </w:p>
    <w:p>
      <w:pPr>
        <w:pStyle w:val="16"/>
        <w:tabs>
          <w:tab w:val="right" w:leader="dot" w:pos="8640"/>
          <w:tab w:val="clear" w:pos="8303"/>
        </w:tabs>
      </w:pPr>
      <w:r>
        <w:fldChar w:fldCharType="begin"/>
      </w:r>
      <w:r>
        <w:instrText xml:space="preserve"> HYPERLINK \l "_Toc25974" </w:instrText>
      </w:r>
      <w:r>
        <w:fldChar w:fldCharType="separate"/>
      </w:r>
      <w:r>
        <w:rPr>
          <w:rFonts w:hint="eastAsia" w:ascii="黑体" w:hAnsi="黑体" w:eastAsia="黑体"/>
          <w:szCs w:val="32"/>
          <w:lang w:bidi="ar"/>
        </w:rPr>
        <w:t>附录</w:t>
      </w:r>
      <w:r>
        <w:rPr>
          <w:rFonts w:eastAsia="黑体"/>
          <w:szCs w:val="32"/>
          <w:lang w:bidi="ar"/>
        </w:rPr>
        <w:t>I</w:t>
      </w:r>
      <w:r>
        <w:rPr>
          <w:rFonts w:hint="eastAsia" w:eastAsia="黑体"/>
          <w:szCs w:val="32"/>
          <w:lang w:bidi="ar"/>
        </w:rPr>
        <w:t xml:space="preserve">  </w:t>
      </w:r>
      <w:r>
        <w:rPr>
          <w:rFonts w:hint="eastAsia" w:ascii="黑体" w:hAnsi="黑体" w:eastAsia="黑体"/>
          <w:szCs w:val="32"/>
          <w:lang w:bidi="ar"/>
        </w:rPr>
        <w:t>国际防止生活污水污染证书格式</w:t>
      </w:r>
      <w:r>
        <w:tab/>
      </w:r>
      <w:r>
        <w:fldChar w:fldCharType="begin"/>
      </w:r>
      <w:r>
        <w:instrText xml:space="preserve"> PAGEREF _Toc25974 \h </w:instrText>
      </w:r>
      <w:r>
        <w:fldChar w:fldCharType="separate"/>
      </w:r>
      <w:r>
        <w:t>16</w:t>
      </w:r>
      <w:r>
        <w:fldChar w:fldCharType="end"/>
      </w:r>
      <w:r>
        <w:fldChar w:fldCharType="end"/>
      </w:r>
    </w:p>
    <w:p>
      <w:pPr>
        <w:pStyle w:val="16"/>
        <w:tabs>
          <w:tab w:val="right" w:leader="dot" w:pos="8640"/>
          <w:tab w:val="clear" w:pos="8303"/>
        </w:tabs>
      </w:pPr>
      <w:r>
        <w:fldChar w:fldCharType="begin"/>
      </w:r>
      <w:r>
        <w:instrText xml:space="preserve"> HYPERLINK \l "_Toc31701" </w:instrText>
      </w:r>
      <w:r>
        <w:fldChar w:fldCharType="separate"/>
      </w:r>
      <w:r>
        <w:rPr>
          <w:rFonts w:hint="eastAsia" w:eastAsia="黑体"/>
          <w:szCs w:val="32"/>
          <w:lang w:bidi="ar"/>
        </w:rPr>
        <w:t>附录 II  无人非自航（UNSP）驳船免除证书格式</w:t>
      </w:r>
      <w:r>
        <w:tab/>
      </w:r>
      <w:r>
        <w:fldChar w:fldCharType="begin"/>
      </w:r>
      <w:r>
        <w:instrText xml:space="preserve"> PAGEREF _Toc31701 \h </w:instrText>
      </w:r>
      <w:r>
        <w:fldChar w:fldCharType="separate"/>
      </w:r>
      <w:r>
        <w:t>16</w:t>
      </w:r>
      <w:r>
        <w:fldChar w:fldCharType="end"/>
      </w:r>
      <w:r>
        <w:fldChar w:fldCharType="end"/>
      </w:r>
    </w:p>
    <w:p>
      <w:pPr>
        <w:pStyle w:val="16"/>
        <w:tabs>
          <w:tab w:val="right" w:leader="dot" w:pos="8640"/>
          <w:tab w:val="clear" w:pos="8303"/>
        </w:tabs>
      </w:pPr>
      <w:r>
        <w:fldChar w:fldCharType="begin"/>
      </w:r>
      <w:r>
        <w:instrText xml:space="preserve"> HYPERLINK \l "_Toc26387" </w:instrText>
      </w:r>
      <w:r>
        <w:fldChar w:fldCharType="separate"/>
      </w:r>
      <w:r>
        <w:t>第5章  防止船舶垃圾污染规则</w:t>
      </w:r>
      <w:r>
        <w:tab/>
      </w:r>
      <w:r>
        <w:fldChar w:fldCharType="begin"/>
      </w:r>
      <w:r>
        <w:instrText xml:space="preserve"> PAGEREF _Toc26387 \h </w:instrText>
      </w:r>
      <w:r>
        <w:fldChar w:fldCharType="separate"/>
      </w:r>
      <w:r>
        <w:t>17</w:t>
      </w:r>
      <w:r>
        <w:fldChar w:fldCharType="end"/>
      </w:r>
      <w:r>
        <w:fldChar w:fldCharType="end"/>
      </w:r>
    </w:p>
    <w:p>
      <w:pPr>
        <w:pStyle w:val="21"/>
        <w:tabs>
          <w:tab w:val="right" w:leader="dot" w:pos="8640"/>
        </w:tabs>
      </w:pPr>
      <w:r>
        <w:fldChar w:fldCharType="begin"/>
      </w:r>
      <w:r>
        <w:instrText xml:space="preserve"> HYPERLINK \l "_Toc17335" </w:instrText>
      </w:r>
      <w:r>
        <w:fldChar w:fldCharType="separate"/>
      </w:r>
      <w:r>
        <w:t>I  总    则</w:t>
      </w:r>
      <w:r>
        <w:tab/>
      </w:r>
      <w:r>
        <w:fldChar w:fldCharType="begin"/>
      </w:r>
      <w:r>
        <w:instrText xml:space="preserve"> PAGEREF _Toc17335 \h </w:instrText>
      </w:r>
      <w:r>
        <w:fldChar w:fldCharType="separate"/>
      </w:r>
      <w:r>
        <w:t>17</w:t>
      </w:r>
      <w:r>
        <w:fldChar w:fldCharType="end"/>
      </w:r>
      <w:r>
        <w:fldChar w:fldCharType="end"/>
      </w:r>
    </w:p>
    <w:p>
      <w:pPr>
        <w:pStyle w:val="17"/>
        <w:tabs>
          <w:tab w:val="right" w:leader="dot" w:pos="8640"/>
        </w:tabs>
      </w:pPr>
      <w:r>
        <w:fldChar w:fldCharType="begin"/>
      </w:r>
      <w:r>
        <w:instrText xml:space="preserve"> HYPERLINK \l "_Toc5732" </w:instrText>
      </w:r>
      <w:r>
        <w:fldChar w:fldCharType="separate"/>
      </w:r>
      <w:r>
        <w:rPr>
          <w:rFonts w:hint="eastAsia" w:ascii="Times New Roman" w:hAnsi="Times New Roman" w:eastAsia="黑体"/>
          <w:bCs/>
        </w:rPr>
        <w:t>第1条  定    义</w:t>
      </w:r>
      <w:r>
        <w:tab/>
      </w:r>
      <w:r>
        <w:fldChar w:fldCharType="begin"/>
      </w:r>
      <w:r>
        <w:instrText xml:space="preserve"> PAGEREF _Toc5732 \h </w:instrText>
      </w:r>
      <w:r>
        <w:fldChar w:fldCharType="separate"/>
      </w:r>
      <w:r>
        <w:t>17</w:t>
      </w:r>
      <w:r>
        <w:fldChar w:fldCharType="end"/>
      </w:r>
      <w:r>
        <w:fldChar w:fldCharType="end"/>
      </w:r>
    </w:p>
    <w:p>
      <w:pPr>
        <w:pStyle w:val="17"/>
        <w:tabs>
          <w:tab w:val="right" w:leader="dot" w:pos="8640"/>
        </w:tabs>
      </w:pPr>
      <w:r>
        <w:fldChar w:fldCharType="begin"/>
      </w:r>
      <w:r>
        <w:instrText xml:space="preserve"> HYPERLINK \l "_Toc22916" </w:instrText>
      </w:r>
      <w:r>
        <w:fldChar w:fldCharType="separate"/>
      </w:r>
      <w:r>
        <w:rPr>
          <w:rFonts w:hint="eastAsia" w:ascii="Times New Roman" w:hAnsi="Times New Roman" w:eastAsia="黑体"/>
          <w:bCs/>
        </w:rPr>
        <w:t>第10条  告示、垃圾管理计划和垃圾记录保存</w:t>
      </w:r>
      <w:r>
        <w:tab/>
      </w:r>
      <w:r>
        <w:fldChar w:fldCharType="begin"/>
      </w:r>
      <w:r>
        <w:instrText xml:space="preserve"> PAGEREF _Toc22916 \h </w:instrText>
      </w:r>
      <w:r>
        <w:fldChar w:fldCharType="separate"/>
      </w:r>
      <w:r>
        <w:t>17</w:t>
      </w:r>
      <w:r>
        <w:fldChar w:fldCharType="end"/>
      </w:r>
      <w:r>
        <w:fldChar w:fldCharType="end"/>
      </w:r>
    </w:p>
    <w:p>
      <w:pPr>
        <w:pStyle w:val="16"/>
        <w:tabs>
          <w:tab w:val="right" w:leader="dot" w:pos="8640"/>
          <w:tab w:val="clear" w:pos="8303"/>
        </w:tabs>
      </w:pPr>
      <w:r>
        <w:fldChar w:fldCharType="begin"/>
      </w:r>
      <w:r>
        <w:instrText xml:space="preserve"> HYPERLINK \l "_Toc16351" </w:instrText>
      </w:r>
      <w:r>
        <w:fldChar w:fldCharType="separate"/>
      </w:r>
      <w:r>
        <w:t>第6章  防止船舶造成空气污染规则</w:t>
      </w:r>
      <w:r>
        <w:tab/>
      </w:r>
      <w:r>
        <w:fldChar w:fldCharType="begin"/>
      </w:r>
      <w:r>
        <w:instrText xml:space="preserve"> PAGEREF _Toc16351 \h </w:instrText>
      </w:r>
      <w:r>
        <w:fldChar w:fldCharType="separate"/>
      </w:r>
      <w:r>
        <w:t>18</w:t>
      </w:r>
      <w:r>
        <w:fldChar w:fldCharType="end"/>
      </w:r>
      <w:r>
        <w:fldChar w:fldCharType="end"/>
      </w:r>
    </w:p>
    <w:p>
      <w:pPr>
        <w:pStyle w:val="21"/>
        <w:tabs>
          <w:tab w:val="right" w:leader="dot" w:pos="8640"/>
        </w:tabs>
      </w:pPr>
      <w:r>
        <w:fldChar w:fldCharType="begin"/>
      </w:r>
      <w:r>
        <w:instrText xml:space="preserve"> HYPERLINK \l "_Toc6666" </w:instrText>
      </w:r>
      <w:r>
        <w:fldChar w:fldCharType="separate"/>
      </w:r>
      <w:r>
        <w:t>I  总    则</w:t>
      </w:r>
      <w:r>
        <w:tab/>
      </w:r>
      <w:r>
        <w:fldChar w:fldCharType="begin"/>
      </w:r>
      <w:r>
        <w:instrText xml:space="preserve"> PAGEREF _Toc6666 \h </w:instrText>
      </w:r>
      <w:r>
        <w:fldChar w:fldCharType="separate"/>
      </w:r>
      <w:r>
        <w:t>18</w:t>
      </w:r>
      <w:r>
        <w:fldChar w:fldCharType="end"/>
      </w:r>
      <w:r>
        <w:fldChar w:fldCharType="end"/>
      </w:r>
    </w:p>
    <w:p>
      <w:pPr>
        <w:pStyle w:val="17"/>
        <w:tabs>
          <w:tab w:val="right" w:leader="dot" w:pos="8640"/>
        </w:tabs>
      </w:pPr>
      <w:r>
        <w:fldChar w:fldCharType="begin"/>
      </w:r>
      <w:r>
        <w:instrText xml:space="preserve"> HYPERLINK \l "_Toc20102" </w:instrText>
      </w:r>
      <w:r>
        <w:fldChar w:fldCharType="separate"/>
      </w:r>
      <w:r>
        <w:rPr>
          <w:rFonts w:hint="eastAsia"/>
          <w:szCs w:val="21"/>
          <w:lang w:bidi="ar"/>
        </w:rPr>
        <w:t>“</w:t>
      </w:r>
      <w:r>
        <w:rPr>
          <w:rFonts w:hint="eastAsia" w:ascii="Times New Roman" w:hAnsi="Times New Roman" w:eastAsia="黑体"/>
          <w:bCs/>
        </w:rPr>
        <w:t>第1条  适用范围</w:t>
      </w:r>
      <w:r>
        <w:tab/>
      </w:r>
      <w:r>
        <w:fldChar w:fldCharType="begin"/>
      </w:r>
      <w:r>
        <w:instrText xml:space="preserve"> PAGEREF _Toc20102 \h </w:instrText>
      </w:r>
      <w:r>
        <w:fldChar w:fldCharType="separate"/>
      </w:r>
      <w:r>
        <w:t>18</w:t>
      </w:r>
      <w:r>
        <w:fldChar w:fldCharType="end"/>
      </w:r>
      <w:r>
        <w:fldChar w:fldCharType="end"/>
      </w:r>
    </w:p>
    <w:p>
      <w:pPr>
        <w:pStyle w:val="17"/>
        <w:tabs>
          <w:tab w:val="right" w:leader="dot" w:pos="8640"/>
        </w:tabs>
      </w:pPr>
      <w:r>
        <w:fldChar w:fldCharType="begin"/>
      </w:r>
      <w:r>
        <w:instrText xml:space="preserve"> HYPERLINK \l "_Toc26629" </w:instrText>
      </w:r>
      <w:r>
        <w:fldChar w:fldCharType="separate"/>
      </w:r>
      <w:r>
        <w:rPr>
          <w:rFonts w:hint="eastAsia" w:ascii="Times New Roman" w:hAnsi="Times New Roman" w:eastAsia="黑体"/>
          <w:bCs/>
        </w:rPr>
        <w:t>第</w:t>
      </w:r>
      <w:r>
        <w:rPr>
          <w:rFonts w:ascii="Times New Roman" w:hAnsi="Times New Roman" w:eastAsia="黑体"/>
          <w:bCs/>
        </w:rPr>
        <w:t xml:space="preserve">2条  </w:t>
      </w:r>
      <w:r>
        <w:rPr>
          <w:rFonts w:hint="eastAsia" w:ascii="Times New Roman" w:hAnsi="Times New Roman" w:eastAsia="黑体"/>
          <w:bCs/>
        </w:rPr>
        <w:t>定    义</w:t>
      </w:r>
      <w:r>
        <w:tab/>
      </w:r>
      <w:r>
        <w:fldChar w:fldCharType="begin"/>
      </w:r>
      <w:r>
        <w:instrText xml:space="preserve"> PAGEREF _Toc26629 \h </w:instrText>
      </w:r>
      <w:r>
        <w:fldChar w:fldCharType="separate"/>
      </w:r>
      <w:r>
        <w:t>18</w:t>
      </w:r>
      <w:r>
        <w:fldChar w:fldCharType="end"/>
      </w:r>
      <w:r>
        <w:fldChar w:fldCharType="end"/>
      </w:r>
    </w:p>
    <w:p>
      <w:pPr>
        <w:pStyle w:val="17"/>
        <w:tabs>
          <w:tab w:val="right" w:leader="dot" w:pos="8640"/>
        </w:tabs>
      </w:pPr>
      <w:r>
        <w:fldChar w:fldCharType="begin"/>
      </w:r>
      <w:r>
        <w:instrText xml:space="preserve"> HYPERLINK \l "_Toc14048" </w:instrText>
      </w:r>
      <w:r>
        <w:fldChar w:fldCharType="separate"/>
      </w:r>
      <w:r>
        <w:rPr>
          <w:rFonts w:hint="eastAsia" w:ascii="Times New Roman" w:hAnsi="Times New Roman" w:eastAsia="黑体"/>
          <w:bCs/>
        </w:rPr>
        <w:t>第3条  例外和免除</w:t>
      </w:r>
      <w:r>
        <w:tab/>
      </w:r>
      <w:r>
        <w:fldChar w:fldCharType="begin"/>
      </w:r>
      <w:r>
        <w:instrText xml:space="preserve"> PAGEREF _Toc14048 \h </w:instrText>
      </w:r>
      <w:r>
        <w:fldChar w:fldCharType="separate"/>
      </w:r>
      <w:r>
        <w:t>22</w:t>
      </w:r>
      <w:r>
        <w:fldChar w:fldCharType="end"/>
      </w:r>
      <w:r>
        <w:fldChar w:fldCharType="end"/>
      </w:r>
    </w:p>
    <w:p>
      <w:pPr>
        <w:pStyle w:val="17"/>
        <w:tabs>
          <w:tab w:val="right" w:leader="dot" w:pos="8640"/>
        </w:tabs>
      </w:pPr>
      <w:r>
        <w:fldChar w:fldCharType="begin"/>
      </w:r>
      <w:r>
        <w:instrText xml:space="preserve"> HYPERLINK \l "_Toc30644" </w:instrText>
      </w:r>
      <w:r>
        <w:fldChar w:fldCharType="separate"/>
      </w:r>
      <w:r>
        <w:rPr>
          <w:rFonts w:hint="eastAsia" w:ascii="Times New Roman" w:hAnsi="Times New Roman" w:eastAsia="黑体"/>
          <w:bCs/>
        </w:rPr>
        <w:t>第4条  等    效</w:t>
      </w:r>
      <w:r>
        <w:tab/>
      </w:r>
      <w:r>
        <w:fldChar w:fldCharType="begin"/>
      </w:r>
      <w:r>
        <w:instrText xml:space="preserve"> PAGEREF _Toc30644 \h </w:instrText>
      </w:r>
      <w:r>
        <w:fldChar w:fldCharType="separate"/>
      </w:r>
      <w:r>
        <w:t>23</w:t>
      </w:r>
      <w:r>
        <w:fldChar w:fldCharType="end"/>
      </w:r>
      <w:r>
        <w:fldChar w:fldCharType="end"/>
      </w:r>
    </w:p>
    <w:p>
      <w:pPr>
        <w:pStyle w:val="21"/>
        <w:tabs>
          <w:tab w:val="right" w:leader="dot" w:pos="8640"/>
        </w:tabs>
      </w:pPr>
      <w:r>
        <w:fldChar w:fldCharType="begin"/>
      </w:r>
      <w:r>
        <w:instrText xml:space="preserve"> HYPERLINK \l "_Toc28346" </w:instrText>
      </w:r>
      <w:r>
        <w:fldChar w:fldCharType="separate"/>
      </w:r>
      <w:r>
        <w:t>II  检验、发证和控制手段</w:t>
      </w:r>
      <w:r>
        <w:tab/>
      </w:r>
      <w:r>
        <w:fldChar w:fldCharType="begin"/>
      </w:r>
      <w:r>
        <w:instrText xml:space="preserve"> PAGEREF _Toc28346 \h </w:instrText>
      </w:r>
      <w:r>
        <w:fldChar w:fldCharType="separate"/>
      </w:r>
      <w:r>
        <w:t>23</w:t>
      </w:r>
      <w:r>
        <w:fldChar w:fldCharType="end"/>
      </w:r>
      <w:r>
        <w:fldChar w:fldCharType="end"/>
      </w:r>
    </w:p>
    <w:p>
      <w:pPr>
        <w:pStyle w:val="17"/>
        <w:tabs>
          <w:tab w:val="right" w:leader="dot" w:pos="8640"/>
        </w:tabs>
      </w:pPr>
      <w:r>
        <w:fldChar w:fldCharType="begin"/>
      </w:r>
      <w:r>
        <w:instrText xml:space="preserve"> HYPERLINK \l "_Toc22547" </w:instrText>
      </w:r>
      <w:r>
        <w:fldChar w:fldCharType="separate"/>
      </w:r>
      <w:r>
        <w:rPr>
          <w:rFonts w:hint="eastAsia" w:ascii="Times New Roman" w:hAnsi="Times New Roman" w:eastAsia="黑体"/>
          <w:bCs/>
        </w:rPr>
        <w:t>第</w:t>
      </w:r>
      <w:r>
        <w:rPr>
          <w:rFonts w:hint="eastAsia" w:ascii="Times New Roman" w:hAnsi="Times New Roman" w:eastAsia="黑体"/>
        </w:rPr>
        <w:t>5</w:t>
      </w:r>
      <w:r>
        <w:rPr>
          <w:rFonts w:hint="eastAsia" w:ascii="Times New Roman" w:hAnsi="Times New Roman" w:eastAsia="黑体"/>
          <w:bCs/>
        </w:rPr>
        <w:t>条  检    验</w:t>
      </w:r>
      <w:r>
        <w:tab/>
      </w:r>
      <w:r>
        <w:fldChar w:fldCharType="begin"/>
      </w:r>
      <w:r>
        <w:instrText xml:space="preserve"> PAGEREF _Toc22547 \h </w:instrText>
      </w:r>
      <w:r>
        <w:fldChar w:fldCharType="separate"/>
      </w:r>
      <w:r>
        <w:t>23</w:t>
      </w:r>
      <w:r>
        <w:fldChar w:fldCharType="end"/>
      </w:r>
      <w:r>
        <w:fldChar w:fldCharType="end"/>
      </w:r>
    </w:p>
    <w:p>
      <w:pPr>
        <w:pStyle w:val="17"/>
        <w:tabs>
          <w:tab w:val="right" w:leader="dot" w:pos="8640"/>
        </w:tabs>
      </w:pPr>
      <w:r>
        <w:fldChar w:fldCharType="begin"/>
      </w:r>
      <w:r>
        <w:instrText xml:space="preserve"> HYPERLINK \l "_Toc32761" </w:instrText>
      </w:r>
      <w:r>
        <w:fldChar w:fldCharType="separate"/>
      </w:r>
      <w:r>
        <w:rPr>
          <w:rFonts w:hint="eastAsia" w:ascii="Times New Roman" w:hAnsi="Times New Roman" w:eastAsia="黑体"/>
          <w:bCs/>
        </w:rPr>
        <w:t>第6条 证书和关于燃油消耗报告的符合声明的签发或签署</w:t>
      </w:r>
      <w:r>
        <w:tab/>
      </w:r>
      <w:r>
        <w:fldChar w:fldCharType="begin"/>
      </w:r>
      <w:r>
        <w:instrText xml:space="preserve"> PAGEREF _Toc32761 \h </w:instrText>
      </w:r>
      <w:r>
        <w:fldChar w:fldCharType="separate"/>
      </w:r>
      <w:r>
        <w:t>24</w:t>
      </w:r>
      <w:r>
        <w:fldChar w:fldCharType="end"/>
      </w:r>
      <w:r>
        <w:fldChar w:fldCharType="end"/>
      </w:r>
    </w:p>
    <w:p>
      <w:pPr>
        <w:pStyle w:val="17"/>
        <w:tabs>
          <w:tab w:val="right" w:leader="dot" w:pos="8640"/>
        </w:tabs>
      </w:pPr>
      <w:r>
        <w:fldChar w:fldCharType="begin"/>
      </w:r>
      <w:r>
        <w:instrText xml:space="preserve"> HYPERLINK \l "_Toc12001" </w:instrText>
      </w:r>
      <w:r>
        <w:fldChar w:fldCharType="separate"/>
      </w:r>
      <w:r>
        <w:rPr>
          <w:rFonts w:hint="eastAsia" w:ascii="Times New Roman" w:hAnsi="Times New Roman" w:eastAsia="黑体"/>
          <w:bCs/>
        </w:rPr>
        <w:t>第7条  他国政府签发证书</w:t>
      </w:r>
      <w:r>
        <w:tab/>
      </w:r>
      <w:r>
        <w:fldChar w:fldCharType="begin"/>
      </w:r>
      <w:r>
        <w:instrText xml:space="preserve"> PAGEREF _Toc12001 \h </w:instrText>
      </w:r>
      <w:r>
        <w:fldChar w:fldCharType="separate"/>
      </w:r>
      <w:r>
        <w:t>24</w:t>
      </w:r>
      <w:r>
        <w:fldChar w:fldCharType="end"/>
      </w:r>
      <w:r>
        <w:fldChar w:fldCharType="end"/>
      </w:r>
    </w:p>
    <w:p>
      <w:pPr>
        <w:pStyle w:val="17"/>
        <w:tabs>
          <w:tab w:val="right" w:leader="dot" w:pos="8640"/>
        </w:tabs>
      </w:pPr>
      <w:r>
        <w:fldChar w:fldCharType="begin"/>
      </w:r>
      <w:r>
        <w:instrText xml:space="preserve"> HYPERLINK \l "_Toc30474" </w:instrText>
      </w:r>
      <w:r>
        <w:fldChar w:fldCharType="separate"/>
      </w:r>
      <w:r>
        <w:rPr>
          <w:rFonts w:hint="eastAsia" w:ascii="Times New Roman" w:hAnsi="Times New Roman" w:eastAsia="黑体"/>
          <w:bCs/>
        </w:rPr>
        <w:t>第8条  证书和关于燃油消耗报告和营运碳强度评级的符合声明格式</w:t>
      </w:r>
      <w:r>
        <w:rPr>
          <w:rFonts w:hint="eastAsia" w:ascii="宋体" w:hAnsi="宋体" w:eastAsia="宋体" w:cs="宋体"/>
          <w:bCs/>
        </w:rPr>
        <w:t>”</w:t>
      </w:r>
      <w:r>
        <w:tab/>
      </w:r>
      <w:r>
        <w:fldChar w:fldCharType="begin"/>
      </w:r>
      <w:r>
        <w:instrText xml:space="preserve"> PAGEREF _Toc30474 \h </w:instrText>
      </w:r>
      <w:r>
        <w:fldChar w:fldCharType="separate"/>
      </w:r>
      <w:r>
        <w:t>25</w:t>
      </w:r>
      <w:r>
        <w:fldChar w:fldCharType="end"/>
      </w:r>
      <w:r>
        <w:fldChar w:fldCharType="end"/>
      </w:r>
    </w:p>
    <w:p>
      <w:pPr>
        <w:pStyle w:val="17"/>
        <w:tabs>
          <w:tab w:val="right" w:leader="dot" w:pos="8640"/>
        </w:tabs>
      </w:pPr>
      <w:r>
        <w:fldChar w:fldCharType="begin"/>
      </w:r>
      <w:r>
        <w:instrText xml:space="preserve"> HYPERLINK \l "_Toc1501" </w:instrText>
      </w:r>
      <w:r>
        <w:fldChar w:fldCharType="separate"/>
      </w:r>
      <w:r>
        <w:rPr>
          <w:rFonts w:hint="eastAsia" w:ascii="Times New Roman" w:hAnsi="Times New Roman" w:eastAsia="黑体"/>
          <w:bCs/>
        </w:rPr>
        <w:t>第9条  证书和关于燃油消耗报告</w:t>
      </w:r>
      <w:r>
        <w:rPr>
          <w:rFonts w:hint="eastAsia" w:hAnsi="宋体"/>
        </w:rPr>
        <w:t>和营运碳强度评级</w:t>
      </w:r>
      <w:r>
        <w:rPr>
          <w:rFonts w:hint="eastAsia" w:ascii="Times New Roman" w:hAnsi="Times New Roman" w:eastAsia="黑体"/>
          <w:bCs/>
        </w:rPr>
        <w:t>的符合声明的有效期限</w:t>
      </w:r>
      <w:r>
        <w:rPr>
          <w:rFonts w:hint="eastAsia" w:ascii="宋体" w:hAnsi="宋体" w:eastAsia="宋体" w:cs="宋体"/>
          <w:bCs/>
        </w:rPr>
        <w:t>”</w:t>
      </w:r>
      <w:r>
        <w:tab/>
      </w:r>
      <w:r>
        <w:fldChar w:fldCharType="begin"/>
      </w:r>
      <w:r>
        <w:instrText xml:space="preserve"> PAGEREF _Toc1501 \h </w:instrText>
      </w:r>
      <w:r>
        <w:fldChar w:fldCharType="separate"/>
      </w:r>
      <w:r>
        <w:t>25</w:t>
      </w:r>
      <w:r>
        <w:fldChar w:fldCharType="end"/>
      </w:r>
      <w:r>
        <w:fldChar w:fldCharType="end"/>
      </w:r>
    </w:p>
    <w:p>
      <w:pPr>
        <w:pStyle w:val="17"/>
        <w:tabs>
          <w:tab w:val="right" w:leader="dot" w:pos="8640"/>
        </w:tabs>
      </w:pPr>
      <w:r>
        <w:fldChar w:fldCharType="begin"/>
      </w:r>
      <w:r>
        <w:instrText xml:space="preserve"> HYPERLINK \l "_Toc12715" </w:instrText>
      </w:r>
      <w:r>
        <w:fldChar w:fldCharType="separate"/>
      </w:r>
      <w:r>
        <w:rPr>
          <w:rFonts w:hint="eastAsia" w:ascii="Times New Roman" w:hAnsi="Times New Roman" w:eastAsia="黑体"/>
          <w:bCs/>
        </w:rPr>
        <w:t>第10条  关于操作要求的港口国控制</w:t>
      </w:r>
      <w:r>
        <w:tab/>
      </w:r>
      <w:r>
        <w:fldChar w:fldCharType="begin"/>
      </w:r>
      <w:r>
        <w:instrText xml:space="preserve"> PAGEREF _Toc12715 \h </w:instrText>
      </w:r>
      <w:r>
        <w:fldChar w:fldCharType="separate"/>
      </w:r>
      <w:r>
        <w:t>25</w:t>
      </w:r>
      <w:r>
        <w:fldChar w:fldCharType="end"/>
      </w:r>
      <w:r>
        <w:fldChar w:fldCharType="end"/>
      </w:r>
    </w:p>
    <w:p>
      <w:pPr>
        <w:pStyle w:val="21"/>
        <w:tabs>
          <w:tab w:val="right" w:leader="dot" w:pos="8640"/>
        </w:tabs>
      </w:pPr>
      <w:r>
        <w:fldChar w:fldCharType="begin"/>
      </w:r>
      <w:r>
        <w:instrText xml:space="preserve"> HYPERLINK \l "_Toc15069" </w:instrText>
      </w:r>
      <w:r>
        <w:fldChar w:fldCharType="separate"/>
      </w:r>
      <w:r>
        <w:t>III  船舶排放控制要求</w:t>
      </w:r>
      <w:r>
        <w:tab/>
      </w:r>
      <w:r>
        <w:fldChar w:fldCharType="begin"/>
      </w:r>
      <w:r>
        <w:instrText xml:space="preserve"> PAGEREF _Toc15069 \h </w:instrText>
      </w:r>
      <w:r>
        <w:fldChar w:fldCharType="separate"/>
      </w:r>
      <w:r>
        <w:t>26</w:t>
      </w:r>
      <w:r>
        <w:fldChar w:fldCharType="end"/>
      </w:r>
      <w:r>
        <w:fldChar w:fldCharType="end"/>
      </w:r>
    </w:p>
    <w:p>
      <w:pPr>
        <w:pStyle w:val="17"/>
        <w:tabs>
          <w:tab w:val="right" w:leader="dot" w:pos="8640"/>
        </w:tabs>
      </w:pPr>
      <w:r>
        <w:fldChar w:fldCharType="begin"/>
      </w:r>
      <w:r>
        <w:instrText xml:space="preserve"> HYPERLINK \l "_Toc31012" </w:instrText>
      </w:r>
      <w:r>
        <w:fldChar w:fldCharType="separate"/>
      </w:r>
      <w:r>
        <w:rPr>
          <w:rFonts w:hint="eastAsia" w:ascii="Times New Roman" w:hAnsi="Times New Roman" w:eastAsia="黑体"/>
          <w:bCs/>
        </w:rPr>
        <w:t>第12条  消耗臭氧物质</w:t>
      </w:r>
      <w:r>
        <w:tab/>
      </w:r>
      <w:r>
        <w:fldChar w:fldCharType="begin"/>
      </w:r>
      <w:r>
        <w:instrText xml:space="preserve"> PAGEREF _Toc31012 \h </w:instrText>
      </w:r>
      <w:r>
        <w:fldChar w:fldCharType="separate"/>
      </w:r>
      <w:r>
        <w:t>26</w:t>
      </w:r>
      <w:r>
        <w:fldChar w:fldCharType="end"/>
      </w:r>
      <w:r>
        <w:fldChar w:fldCharType="end"/>
      </w:r>
    </w:p>
    <w:p>
      <w:pPr>
        <w:pStyle w:val="17"/>
        <w:tabs>
          <w:tab w:val="right" w:leader="dot" w:pos="8640"/>
        </w:tabs>
      </w:pPr>
      <w:r>
        <w:fldChar w:fldCharType="begin"/>
      </w:r>
      <w:r>
        <w:instrText xml:space="preserve"> HYPERLINK \l "_Toc29100" </w:instrText>
      </w:r>
      <w:r>
        <w:fldChar w:fldCharType="separate"/>
      </w:r>
      <w:r>
        <w:rPr>
          <w:rFonts w:ascii="Times New Roman" w:hAnsi="Times New Roman" w:eastAsia="黑体" w:cs="Times New Roman"/>
          <w:bCs/>
        </w:rPr>
        <w:t>第13条  氮氧化物（NOx）</w:t>
      </w:r>
      <w:r>
        <w:tab/>
      </w:r>
      <w:r>
        <w:fldChar w:fldCharType="begin"/>
      </w:r>
      <w:r>
        <w:instrText xml:space="preserve"> PAGEREF _Toc29100 \h </w:instrText>
      </w:r>
      <w:r>
        <w:fldChar w:fldCharType="separate"/>
      </w:r>
      <w:r>
        <w:t>26</w:t>
      </w:r>
      <w:r>
        <w:fldChar w:fldCharType="end"/>
      </w:r>
      <w:r>
        <w:fldChar w:fldCharType="end"/>
      </w:r>
    </w:p>
    <w:p>
      <w:pPr>
        <w:pStyle w:val="17"/>
        <w:tabs>
          <w:tab w:val="right" w:leader="dot" w:pos="8640"/>
        </w:tabs>
      </w:pPr>
      <w:r>
        <w:fldChar w:fldCharType="begin"/>
      </w:r>
      <w:r>
        <w:instrText xml:space="preserve"> HYPERLINK \l "_Toc27436" </w:instrText>
      </w:r>
      <w:r>
        <w:fldChar w:fldCharType="separate"/>
      </w:r>
      <w:r>
        <w:rPr>
          <w:rFonts w:hint="eastAsia" w:ascii="Times New Roman" w:hAnsi="Times New Roman" w:eastAsia="黑体"/>
          <w:bCs/>
        </w:rPr>
        <w:t>第14条  硫氧化物（SO</w:t>
      </w:r>
      <w:r>
        <w:rPr>
          <w:rFonts w:hint="eastAsia" w:ascii="Times New Roman" w:hAnsi="Times New Roman" w:eastAsia="黑体"/>
          <w:bCs/>
          <w:vertAlign w:val="subscript"/>
        </w:rPr>
        <w:t>X</w:t>
      </w:r>
      <w:r>
        <w:rPr>
          <w:rFonts w:hint="eastAsia" w:ascii="Times New Roman" w:hAnsi="Times New Roman" w:eastAsia="黑体"/>
          <w:bCs/>
        </w:rPr>
        <w:t>）和颗粒物质（PM）</w:t>
      </w:r>
      <w:r>
        <w:tab/>
      </w:r>
      <w:r>
        <w:fldChar w:fldCharType="begin"/>
      </w:r>
      <w:r>
        <w:instrText xml:space="preserve"> PAGEREF _Toc27436 \h </w:instrText>
      </w:r>
      <w:r>
        <w:fldChar w:fldCharType="separate"/>
      </w:r>
      <w:r>
        <w:t>27</w:t>
      </w:r>
      <w:r>
        <w:fldChar w:fldCharType="end"/>
      </w:r>
      <w:r>
        <w:fldChar w:fldCharType="end"/>
      </w:r>
    </w:p>
    <w:p>
      <w:pPr>
        <w:pStyle w:val="17"/>
        <w:tabs>
          <w:tab w:val="right" w:leader="dot" w:pos="8640"/>
        </w:tabs>
      </w:pPr>
      <w:r>
        <w:fldChar w:fldCharType="begin"/>
      </w:r>
      <w:r>
        <w:instrText xml:space="preserve"> HYPERLINK \l "_Toc7638" </w:instrText>
      </w:r>
      <w:r>
        <w:fldChar w:fldCharType="separate"/>
      </w:r>
      <w:r>
        <w:rPr>
          <w:rFonts w:hint="eastAsia" w:ascii="Times New Roman" w:hAnsi="Times New Roman" w:eastAsia="黑体"/>
          <w:bCs/>
          <w:szCs w:val="21"/>
        </w:rPr>
        <w:t>第15条  挥发性有机化合物（VOC）</w:t>
      </w:r>
      <w:r>
        <w:tab/>
      </w:r>
      <w:r>
        <w:fldChar w:fldCharType="begin"/>
      </w:r>
      <w:r>
        <w:instrText xml:space="preserve"> PAGEREF _Toc7638 \h </w:instrText>
      </w:r>
      <w:r>
        <w:fldChar w:fldCharType="separate"/>
      </w:r>
      <w:r>
        <w:t>28</w:t>
      </w:r>
      <w:r>
        <w:fldChar w:fldCharType="end"/>
      </w:r>
      <w:r>
        <w:fldChar w:fldCharType="end"/>
      </w:r>
    </w:p>
    <w:p>
      <w:pPr>
        <w:pStyle w:val="17"/>
        <w:tabs>
          <w:tab w:val="right" w:leader="dot" w:pos="8640"/>
        </w:tabs>
      </w:pPr>
      <w:r>
        <w:fldChar w:fldCharType="begin"/>
      </w:r>
      <w:r>
        <w:instrText xml:space="preserve"> HYPERLINK \l "_Toc3850" </w:instrText>
      </w:r>
      <w:r>
        <w:fldChar w:fldCharType="separate"/>
      </w:r>
      <w:r>
        <w:rPr>
          <w:rFonts w:hint="eastAsia" w:ascii="Times New Roman" w:hAnsi="Times New Roman" w:eastAsia="黑体"/>
          <w:bCs/>
        </w:rPr>
        <w:t>第16条  船上焚烧</w:t>
      </w:r>
      <w:r>
        <w:tab/>
      </w:r>
      <w:r>
        <w:fldChar w:fldCharType="begin"/>
      </w:r>
      <w:r>
        <w:instrText xml:space="preserve"> PAGEREF _Toc3850 \h </w:instrText>
      </w:r>
      <w:r>
        <w:fldChar w:fldCharType="separate"/>
      </w:r>
      <w:r>
        <w:t>28</w:t>
      </w:r>
      <w:r>
        <w:fldChar w:fldCharType="end"/>
      </w:r>
      <w:r>
        <w:fldChar w:fldCharType="end"/>
      </w:r>
    </w:p>
    <w:p>
      <w:pPr>
        <w:pStyle w:val="17"/>
        <w:tabs>
          <w:tab w:val="right" w:leader="dot" w:pos="8640"/>
        </w:tabs>
      </w:pPr>
      <w:r>
        <w:fldChar w:fldCharType="begin"/>
      </w:r>
      <w:r>
        <w:instrText xml:space="preserve"> HYPERLINK \l "_Toc11205" </w:instrText>
      </w:r>
      <w:r>
        <w:fldChar w:fldCharType="separate"/>
      </w:r>
      <w:r>
        <w:rPr>
          <w:rFonts w:hint="eastAsia" w:ascii="Times New Roman" w:hAnsi="Times New Roman" w:eastAsia="黑体"/>
          <w:bCs/>
        </w:rPr>
        <w:t>第17条  接收设备</w:t>
      </w:r>
      <w:r>
        <w:tab/>
      </w:r>
      <w:r>
        <w:fldChar w:fldCharType="begin"/>
      </w:r>
      <w:r>
        <w:instrText xml:space="preserve"> PAGEREF _Toc11205 \h </w:instrText>
      </w:r>
      <w:r>
        <w:fldChar w:fldCharType="separate"/>
      </w:r>
      <w:r>
        <w:t>28</w:t>
      </w:r>
      <w:r>
        <w:fldChar w:fldCharType="end"/>
      </w:r>
      <w:r>
        <w:fldChar w:fldCharType="end"/>
      </w:r>
    </w:p>
    <w:p>
      <w:pPr>
        <w:pStyle w:val="17"/>
        <w:tabs>
          <w:tab w:val="right" w:leader="dot" w:pos="8640"/>
        </w:tabs>
      </w:pPr>
      <w:r>
        <w:fldChar w:fldCharType="begin"/>
      </w:r>
      <w:r>
        <w:instrText xml:space="preserve"> HYPERLINK \l "_Toc8377" </w:instrText>
      </w:r>
      <w:r>
        <w:fldChar w:fldCharType="separate"/>
      </w:r>
      <w:r>
        <w:rPr>
          <w:rFonts w:hint="eastAsia" w:ascii="Times New Roman" w:hAnsi="Times New Roman" w:eastAsia="黑体"/>
          <w:bCs/>
        </w:rPr>
        <w:t>第18条  燃油的提供和质量</w:t>
      </w:r>
      <w:r>
        <w:tab/>
      </w:r>
      <w:r>
        <w:fldChar w:fldCharType="begin"/>
      </w:r>
      <w:r>
        <w:instrText xml:space="preserve"> PAGEREF _Toc8377 \h </w:instrText>
      </w:r>
      <w:r>
        <w:fldChar w:fldCharType="separate"/>
      </w:r>
      <w:r>
        <w:t>29</w:t>
      </w:r>
      <w:r>
        <w:fldChar w:fldCharType="end"/>
      </w:r>
      <w:r>
        <w:fldChar w:fldCharType="end"/>
      </w:r>
    </w:p>
    <w:p>
      <w:pPr>
        <w:pStyle w:val="21"/>
        <w:tabs>
          <w:tab w:val="right" w:leader="dot" w:pos="8640"/>
        </w:tabs>
      </w:pPr>
      <w:r>
        <w:fldChar w:fldCharType="begin"/>
      </w:r>
      <w:r>
        <w:instrText xml:space="preserve"> HYPERLINK \l "_Toc19426" </w:instrText>
      </w:r>
      <w:r>
        <w:fldChar w:fldCharType="separate"/>
      </w:r>
      <w:r>
        <w:rPr>
          <w:szCs w:val="28"/>
        </w:rPr>
        <w:t xml:space="preserve">IV  </w:t>
      </w:r>
      <w:r>
        <w:rPr>
          <w:rFonts w:hint="eastAsia" w:ascii="楷体" w:hAnsi="楷体" w:eastAsia="楷体"/>
          <w:strike/>
          <w:szCs w:val="28"/>
        </w:rPr>
        <w:t>船舶能效规则</w:t>
      </w:r>
      <w:r>
        <w:rPr>
          <w:rFonts w:hint="eastAsia" w:eastAsia="楷体"/>
          <w:szCs w:val="28"/>
        </w:rPr>
        <w:t>国际航运碳强度规则</w:t>
      </w:r>
      <w:r>
        <w:rPr>
          <w:rFonts w:hint="eastAsia"/>
          <w:lang w:bidi="ar"/>
        </w:rPr>
        <w:t>”</w:t>
      </w:r>
      <w:r>
        <w:tab/>
      </w:r>
      <w:r>
        <w:fldChar w:fldCharType="begin"/>
      </w:r>
      <w:r>
        <w:instrText xml:space="preserve"> PAGEREF _Toc19426 \h </w:instrText>
      </w:r>
      <w:r>
        <w:fldChar w:fldCharType="separate"/>
      </w:r>
      <w:r>
        <w:t>30</w:t>
      </w:r>
      <w:r>
        <w:fldChar w:fldCharType="end"/>
      </w:r>
      <w:r>
        <w:fldChar w:fldCharType="end"/>
      </w:r>
    </w:p>
    <w:p>
      <w:pPr>
        <w:pStyle w:val="17"/>
        <w:tabs>
          <w:tab w:val="right" w:leader="dot" w:pos="8640"/>
        </w:tabs>
      </w:pPr>
      <w:r>
        <w:fldChar w:fldCharType="begin"/>
      </w:r>
      <w:r>
        <w:instrText xml:space="preserve"> HYPERLINK \l "_Toc10763" </w:instrText>
      </w:r>
      <w:r>
        <w:fldChar w:fldCharType="separate"/>
      </w:r>
      <w:r>
        <w:rPr>
          <w:rFonts w:hint="eastAsia" w:ascii="Times New Roman" w:hAnsi="Times New Roman" w:eastAsia="黑体"/>
          <w:bCs/>
        </w:rPr>
        <w:t>第</w:t>
      </w:r>
      <w:r>
        <w:rPr>
          <w:rFonts w:ascii="Times New Roman" w:hAnsi="Times New Roman" w:eastAsia="黑体"/>
          <w:bCs/>
        </w:rPr>
        <w:t>19</w:t>
      </w:r>
      <w:r>
        <w:rPr>
          <w:rFonts w:hint="eastAsia" w:ascii="Times New Roman" w:hAnsi="Times New Roman" w:eastAsia="黑体"/>
          <w:bCs/>
        </w:rPr>
        <w:t xml:space="preserve">条 </w:t>
      </w:r>
      <w:r>
        <w:rPr>
          <w:rFonts w:ascii="Times New Roman" w:hAnsi="Times New Roman" w:eastAsia="黑体"/>
          <w:bCs/>
        </w:rPr>
        <w:t xml:space="preserve"> </w:t>
      </w:r>
      <w:r>
        <w:rPr>
          <w:rFonts w:hint="eastAsia" w:ascii="Times New Roman" w:hAnsi="Times New Roman" w:eastAsia="黑体"/>
          <w:bCs/>
        </w:rPr>
        <w:t>适用范围</w:t>
      </w:r>
      <w:r>
        <w:tab/>
      </w:r>
      <w:r>
        <w:fldChar w:fldCharType="begin"/>
      </w:r>
      <w:r>
        <w:instrText xml:space="preserve"> PAGEREF _Toc10763 \h </w:instrText>
      </w:r>
      <w:r>
        <w:fldChar w:fldCharType="separate"/>
      </w:r>
      <w:r>
        <w:t>30</w:t>
      </w:r>
      <w:r>
        <w:fldChar w:fldCharType="end"/>
      </w:r>
      <w:r>
        <w:fldChar w:fldCharType="end"/>
      </w:r>
    </w:p>
    <w:p>
      <w:pPr>
        <w:pStyle w:val="17"/>
        <w:tabs>
          <w:tab w:val="right" w:leader="dot" w:pos="8640"/>
        </w:tabs>
      </w:pPr>
      <w:r>
        <w:fldChar w:fldCharType="begin"/>
      </w:r>
      <w:r>
        <w:instrText xml:space="preserve"> HYPERLINK \l "_Toc14225" </w:instrText>
      </w:r>
      <w:r>
        <w:fldChar w:fldCharType="separate"/>
      </w:r>
      <w:r>
        <w:rPr>
          <w:rFonts w:ascii="Times New Roman" w:hAnsi="Times New Roman" w:eastAsia="黑体"/>
          <w:bCs/>
        </w:rPr>
        <w:t>第20条</w:t>
      </w:r>
      <w:r>
        <w:rPr>
          <w:rFonts w:hint="eastAsia" w:ascii="Times New Roman" w:hAnsi="Times New Roman" w:eastAsia="黑体"/>
          <w:bCs/>
        </w:rPr>
        <w:t xml:space="preserve"> </w:t>
      </w:r>
      <w:r>
        <w:rPr>
          <w:rFonts w:ascii="Times New Roman" w:hAnsi="Times New Roman" w:eastAsia="黑体"/>
          <w:bCs/>
        </w:rPr>
        <w:t xml:space="preserve"> 目标</w:t>
      </w:r>
      <w:r>
        <w:tab/>
      </w:r>
      <w:r>
        <w:fldChar w:fldCharType="begin"/>
      </w:r>
      <w:r>
        <w:instrText xml:space="preserve"> PAGEREF _Toc14225 \h </w:instrText>
      </w:r>
      <w:r>
        <w:fldChar w:fldCharType="separate"/>
      </w:r>
      <w:r>
        <w:t>31</w:t>
      </w:r>
      <w:r>
        <w:fldChar w:fldCharType="end"/>
      </w:r>
      <w:r>
        <w:fldChar w:fldCharType="end"/>
      </w:r>
    </w:p>
    <w:p>
      <w:pPr>
        <w:pStyle w:val="17"/>
        <w:tabs>
          <w:tab w:val="right" w:leader="dot" w:pos="8640"/>
        </w:tabs>
      </w:pPr>
      <w:r>
        <w:fldChar w:fldCharType="begin"/>
      </w:r>
      <w:r>
        <w:instrText xml:space="preserve"> HYPERLINK \l "_Toc556" </w:instrText>
      </w:r>
      <w:r>
        <w:fldChar w:fldCharType="separate"/>
      </w:r>
      <w:r>
        <w:rPr>
          <w:rFonts w:ascii="Times New Roman" w:hAnsi="Times New Roman" w:eastAsia="黑体"/>
          <w:bCs/>
        </w:rPr>
        <w:t>第21条  功能要求</w:t>
      </w:r>
      <w:r>
        <w:tab/>
      </w:r>
      <w:r>
        <w:fldChar w:fldCharType="begin"/>
      </w:r>
      <w:r>
        <w:instrText xml:space="preserve"> PAGEREF _Toc556 \h </w:instrText>
      </w:r>
      <w:r>
        <w:fldChar w:fldCharType="separate"/>
      </w:r>
      <w:r>
        <w:t>31</w:t>
      </w:r>
      <w:r>
        <w:fldChar w:fldCharType="end"/>
      </w:r>
      <w:r>
        <w:fldChar w:fldCharType="end"/>
      </w:r>
    </w:p>
    <w:p>
      <w:pPr>
        <w:pStyle w:val="17"/>
        <w:tabs>
          <w:tab w:val="right" w:leader="dot" w:pos="8640"/>
        </w:tabs>
      </w:pPr>
      <w:r>
        <w:fldChar w:fldCharType="begin"/>
      </w:r>
      <w:r>
        <w:instrText xml:space="preserve"> HYPERLINK \l "_Toc18244" </w:instrText>
      </w:r>
      <w:r>
        <w:fldChar w:fldCharType="separate"/>
      </w:r>
      <w:r>
        <w:rPr>
          <w:rFonts w:ascii="Times New Roman" w:hAnsi="Times New Roman" w:eastAsia="黑体"/>
          <w:bCs/>
        </w:rPr>
        <w:t>第22条</w:t>
      </w:r>
      <w:r>
        <w:rPr>
          <w:rFonts w:hint="eastAsia" w:ascii="Times New Roman" w:hAnsi="Times New Roman" w:eastAsia="黑体"/>
          <w:bCs/>
        </w:rPr>
        <w:t xml:space="preserve"> </w:t>
      </w:r>
      <w:r>
        <w:rPr>
          <w:rFonts w:ascii="Times New Roman" w:hAnsi="Times New Roman" w:eastAsia="黑体"/>
          <w:bCs/>
        </w:rPr>
        <w:t xml:space="preserve"> </w:t>
      </w:r>
      <w:r>
        <w:rPr>
          <w:rFonts w:hint="eastAsia" w:ascii="Times New Roman" w:hAnsi="Times New Roman" w:eastAsia="黑体"/>
          <w:bCs/>
        </w:rPr>
        <w:t>达到的能效设计指数（</w:t>
      </w:r>
      <w:r>
        <w:rPr>
          <w:rFonts w:ascii="Times New Roman" w:hAnsi="Times New Roman" w:eastAsia="黑体"/>
          <w:bCs/>
        </w:rPr>
        <w:t>Attained EEDI</w:t>
      </w:r>
      <w:r>
        <w:rPr>
          <w:rFonts w:hint="eastAsia" w:ascii="Times New Roman" w:hAnsi="Times New Roman" w:eastAsia="黑体"/>
          <w:bCs/>
        </w:rPr>
        <w:t>）</w:t>
      </w:r>
      <w:r>
        <w:tab/>
      </w:r>
      <w:r>
        <w:fldChar w:fldCharType="begin"/>
      </w:r>
      <w:r>
        <w:instrText xml:space="preserve"> PAGEREF _Toc18244 \h </w:instrText>
      </w:r>
      <w:r>
        <w:fldChar w:fldCharType="separate"/>
      </w:r>
      <w:r>
        <w:t>31</w:t>
      </w:r>
      <w:r>
        <w:fldChar w:fldCharType="end"/>
      </w:r>
      <w:r>
        <w:fldChar w:fldCharType="end"/>
      </w:r>
    </w:p>
    <w:p>
      <w:pPr>
        <w:pStyle w:val="17"/>
        <w:tabs>
          <w:tab w:val="right" w:leader="dot" w:pos="8640"/>
        </w:tabs>
      </w:pPr>
      <w:r>
        <w:fldChar w:fldCharType="begin"/>
      </w:r>
      <w:r>
        <w:instrText xml:space="preserve"> HYPERLINK \l "_Toc19954" </w:instrText>
      </w:r>
      <w:r>
        <w:fldChar w:fldCharType="separate"/>
      </w:r>
      <w:r>
        <w:rPr>
          <w:rFonts w:ascii="Times New Roman" w:hAnsi="Times New Roman" w:eastAsia="黑体"/>
          <w:bCs/>
        </w:rPr>
        <w:t>第2</w:t>
      </w:r>
      <w:r>
        <w:rPr>
          <w:rFonts w:hint="eastAsia" w:ascii="Times New Roman" w:hAnsi="Times New Roman" w:eastAsia="黑体"/>
          <w:bCs/>
        </w:rPr>
        <w:t>3</w:t>
      </w:r>
      <w:r>
        <w:rPr>
          <w:rFonts w:ascii="Times New Roman" w:hAnsi="Times New Roman" w:eastAsia="黑体"/>
          <w:bCs/>
        </w:rPr>
        <w:t xml:space="preserve">条 </w:t>
      </w:r>
      <w:r>
        <w:rPr>
          <w:rFonts w:hint="eastAsia" w:ascii="Times New Roman" w:hAnsi="Times New Roman" w:eastAsia="黑体"/>
          <w:bCs/>
        </w:rPr>
        <w:t>现有船舶达到</w:t>
      </w:r>
      <w:r>
        <w:rPr>
          <w:rFonts w:ascii="Times New Roman" w:hAnsi="Times New Roman" w:eastAsia="黑体"/>
          <w:bCs/>
        </w:rPr>
        <w:t>的能效指数（Attained EE</w:t>
      </w:r>
      <w:r>
        <w:rPr>
          <w:rFonts w:hint="eastAsia" w:ascii="Times New Roman" w:hAnsi="Times New Roman" w:eastAsia="黑体"/>
          <w:bCs/>
        </w:rPr>
        <w:t>X</w:t>
      </w:r>
      <w:r>
        <w:rPr>
          <w:rFonts w:ascii="Times New Roman" w:hAnsi="Times New Roman" w:eastAsia="黑体"/>
          <w:bCs/>
        </w:rPr>
        <w:t>I）</w:t>
      </w:r>
      <w:r>
        <w:tab/>
      </w:r>
      <w:r>
        <w:fldChar w:fldCharType="begin"/>
      </w:r>
      <w:r>
        <w:instrText xml:space="preserve"> PAGEREF _Toc19954 \h </w:instrText>
      </w:r>
      <w:r>
        <w:fldChar w:fldCharType="separate"/>
      </w:r>
      <w:r>
        <w:t>32</w:t>
      </w:r>
      <w:r>
        <w:fldChar w:fldCharType="end"/>
      </w:r>
      <w:r>
        <w:fldChar w:fldCharType="end"/>
      </w:r>
    </w:p>
    <w:p>
      <w:pPr>
        <w:pStyle w:val="17"/>
        <w:tabs>
          <w:tab w:val="right" w:leader="dot" w:pos="8640"/>
        </w:tabs>
      </w:pPr>
      <w:r>
        <w:fldChar w:fldCharType="begin"/>
      </w:r>
      <w:r>
        <w:instrText xml:space="preserve"> HYPERLINK \l "_Toc10747" </w:instrText>
      </w:r>
      <w:r>
        <w:fldChar w:fldCharType="separate"/>
      </w:r>
      <w:r>
        <w:rPr>
          <w:rFonts w:hint="eastAsia" w:ascii="Times New Roman" w:hAnsi="Times New Roman" w:eastAsia="黑体"/>
          <w:bCs/>
        </w:rPr>
        <w:t xml:space="preserve">第24条 </w:t>
      </w:r>
      <w:r>
        <w:rPr>
          <w:rFonts w:ascii="Times New Roman" w:hAnsi="Times New Roman" w:eastAsia="黑体"/>
          <w:bCs/>
        </w:rPr>
        <w:t xml:space="preserve"> </w:t>
      </w:r>
      <w:r>
        <w:rPr>
          <w:rFonts w:hint="eastAsia" w:ascii="Times New Roman" w:hAnsi="Times New Roman" w:eastAsia="黑体"/>
          <w:bCs/>
        </w:rPr>
        <w:t>要求的能效设计指数（</w:t>
      </w:r>
      <w:r>
        <w:rPr>
          <w:rFonts w:ascii="Times New Roman" w:hAnsi="Times New Roman" w:eastAsia="黑体"/>
          <w:bCs/>
        </w:rPr>
        <w:t>Required EEDI</w:t>
      </w:r>
      <w:r>
        <w:rPr>
          <w:rFonts w:hint="eastAsia" w:ascii="Times New Roman" w:hAnsi="Times New Roman" w:eastAsia="黑体"/>
          <w:bCs/>
        </w:rPr>
        <w:t>）</w:t>
      </w:r>
      <w:r>
        <w:tab/>
      </w:r>
      <w:r>
        <w:fldChar w:fldCharType="begin"/>
      </w:r>
      <w:r>
        <w:instrText xml:space="preserve"> PAGEREF _Toc10747 \h </w:instrText>
      </w:r>
      <w:r>
        <w:fldChar w:fldCharType="separate"/>
      </w:r>
      <w:r>
        <w:t>32</w:t>
      </w:r>
      <w:r>
        <w:fldChar w:fldCharType="end"/>
      </w:r>
      <w:r>
        <w:fldChar w:fldCharType="end"/>
      </w:r>
    </w:p>
    <w:p>
      <w:pPr>
        <w:pStyle w:val="17"/>
        <w:tabs>
          <w:tab w:val="right" w:leader="dot" w:pos="8640"/>
        </w:tabs>
      </w:pPr>
      <w:r>
        <w:fldChar w:fldCharType="begin"/>
      </w:r>
      <w:r>
        <w:instrText xml:space="preserve"> HYPERLINK \l "_Toc12241" </w:instrText>
      </w:r>
      <w:r>
        <w:fldChar w:fldCharType="separate"/>
      </w:r>
      <w:r>
        <w:rPr>
          <w:rFonts w:ascii="Times New Roman" w:hAnsi="Times New Roman" w:eastAsia="黑体"/>
          <w:bCs/>
        </w:rPr>
        <w:t>第2</w:t>
      </w:r>
      <w:r>
        <w:rPr>
          <w:rFonts w:hint="eastAsia" w:ascii="Times New Roman" w:hAnsi="Times New Roman" w:eastAsia="黑体"/>
          <w:bCs/>
        </w:rPr>
        <w:t>5</w:t>
      </w:r>
      <w:r>
        <w:rPr>
          <w:rFonts w:ascii="Times New Roman" w:hAnsi="Times New Roman" w:eastAsia="黑体"/>
          <w:bCs/>
        </w:rPr>
        <w:t>条</w:t>
      </w:r>
      <w:r>
        <w:rPr>
          <w:rFonts w:hint="eastAsia" w:ascii="Times New Roman" w:hAnsi="Times New Roman" w:eastAsia="黑体"/>
          <w:bCs/>
        </w:rPr>
        <w:t xml:space="preserve"> </w:t>
      </w:r>
      <w:r>
        <w:rPr>
          <w:rFonts w:ascii="Times New Roman" w:hAnsi="Times New Roman" w:eastAsia="黑体"/>
          <w:bCs/>
        </w:rPr>
        <w:t xml:space="preserve"> </w:t>
      </w:r>
      <w:r>
        <w:rPr>
          <w:rFonts w:hint="eastAsia" w:ascii="Times New Roman" w:hAnsi="Times New Roman" w:eastAsia="黑体"/>
          <w:bCs/>
        </w:rPr>
        <w:t>要求的现有船舶能效设计指数（</w:t>
      </w:r>
      <w:r>
        <w:rPr>
          <w:rFonts w:ascii="Times New Roman" w:hAnsi="Times New Roman" w:eastAsia="黑体"/>
          <w:bCs/>
        </w:rPr>
        <w:t>Required EE</w:t>
      </w:r>
      <w:r>
        <w:rPr>
          <w:rFonts w:hint="eastAsia" w:ascii="Times New Roman" w:hAnsi="Times New Roman" w:eastAsia="黑体"/>
          <w:bCs/>
        </w:rPr>
        <w:t>X</w:t>
      </w:r>
      <w:r>
        <w:rPr>
          <w:rFonts w:ascii="Times New Roman" w:hAnsi="Times New Roman" w:eastAsia="黑体"/>
          <w:bCs/>
        </w:rPr>
        <w:t>I</w:t>
      </w:r>
      <w:r>
        <w:rPr>
          <w:rFonts w:hint="eastAsia" w:ascii="Times New Roman" w:hAnsi="Times New Roman" w:eastAsia="黑体"/>
          <w:bCs/>
        </w:rPr>
        <w:t>）</w:t>
      </w:r>
      <w:r>
        <w:tab/>
      </w:r>
      <w:r>
        <w:fldChar w:fldCharType="begin"/>
      </w:r>
      <w:r>
        <w:instrText xml:space="preserve"> PAGEREF _Toc12241 \h </w:instrText>
      </w:r>
      <w:r>
        <w:fldChar w:fldCharType="separate"/>
      </w:r>
      <w:r>
        <w:t>35</w:t>
      </w:r>
      <w:r>
        <w:fldChar w:fldCharType="end"/>
      </w:r>
      <w:r>
        <w:fldChar w:fldCharType="end"/>
      </w:r>
    </w:p>
    <w:p>
      <w:pPr>
        <w:pStyle w:val="17"/>
        <w:tabs>
          <w:tab w:val="right" w:leader="dot" w:pos="8640"/>
        </w:tabs>
      </w:pPr>
      <w:r>
        <w:fldChar w:fldCharType="begin"/>
      </w:r>
      <w:r>
        <w:instrText xml:space="preserve"> HYPERLINK \l "_Toc20971" </w:instrText>
      </w:r>
      <w:r>
        <w:fldChar w:fldCharType="separate"/>
      </w:r>
      <w:r>
        <w:rPr>
          <w:rFonts w:hint="eastAsia" w:ascii="Times New Roman" w:hAnsi="Times New Roman" w:eastAsia="黑体"/>
          <w:bCs/>
        </w:rPr>
        <w:t>第</w:t>
      </w:r>
      <w:r>
        <w:rPr>
          <w:rFonts w:ascii="Times New Roman" w:hAnsi="Times New Roman" w:eastAsia="黑体"/>
          <w:bCs/>
        </w:rPr>
        <w:t>2</w:t>
      </w:r>
      <w:r>
        <w:rPr>
          <w:rFonts w:hint="eastAsia" w:ascii="Times New Roman" w:hAnsi="Times New Roman" w:eastAsia="黑体"/>
          <w:bCs/>
        </w:rPr>
        <w:t xml:space="preserve">6条 </w:t>
      </w:r>
      <w:r>
        <w:rPr>
          <w:rFonts w:ascii="Times New Roman" w:hAnsi="Times New Roman" w:eastAsia="黑体"/>
          <w:bCs/>
        </w:rPr>
        <w:t xml:space="preserve"> </w:t>
      </w:r>
      <w:r>
        <w:rPr>
          <w:rFonts w:hint="eastAsia" w:ascii="Times New Roman" w:hAnsi="Times New Roman" w:eastAsia="黑体"/>
          <w:bCs/>
        </w:rPr>
        <w:t>船舶能效管理计划（</w:t>
      </w:r>
      <w:r>
        <w:rPr>
          <w:rFonts w:ascii="Times New Roman" w:hAnsi="Times New Roman" w:eastAsia="黑体"/>
          <w:bCs/>
        </w:rPr>
        <w:t>SEEMP</w:t>
      </w:r>
      <w:r>
        <w:rPr>
          <w:rFonts w:hint="eastAsia" w:ascii="Times New Roman" w:hAnsi="Times New Roman" w:eastAsia="黑体"/>
          <w:bCs/>
        </w:rPr>
        <w:t>）</w:t>
      </w:r>
      <w:r>
        <w:tab/>
      </w:r>
      <w:r>
        <w:fldChar w:fldCharType="begin"/>
      </w:r>
      <w:r>
        <w:instrText xml:space="preserve"> PAGEREF _Toc20971 \h </w:instrText>
      </w:r>
      <w:r>
        <w:fldChar w:fldCharType="separate"/>
      </w:r>
      <w:r>
        <w:t>36</w:t>
      </w:r>
      <w:r>
        <w:fldChar w:fldCharType="end"/>
      </w:r>
      <w:r>
        <w:fldChar w:fldCharType="end"/>
      </w:r>
    </w:p>
    <w:p>
      <w:pPr>
        <w:pStyle w:val="17"/>
        <w:tabs>
          <w:tab w:val="right" w:leader="dot" w:pos="8640"/>
        </w:tabs>
      </w:pPr>
      <w:r>
        <w:fldChar w:fldCharType="begin"/>
      </w:r>
      <w:r>
        <w:instrText xml:space="preserve"> HYPERLINK \l "_Toc3197" </w:instrText>
      </w:r>
      <w:r>
        <w:fldChar w:fldCharType="separate"/>
      </w:r>
      <w:r>
        <w:rPr>
          <w:rFonts w:hint="eastAsia" w:ascii="Times New Roman" w:hAnsi="Times New Roman" w:eastAsia="黑体"/>
          <w:bCs/>
          <w:strike/>
        </w:rPr>
        <w:t>第</w:t>
      </w:r>
      <w:r>
        <w:rPr>
          <w:rFonts w:ascii="Times New Roman" w:hAnsi="Times New Roman" w:eastAsia="黑体"/>
          <w:bCs/>
          <w:strike/>
        </w:rPr>
        <w:t>22</w:t>
      </w:r>
      <w:r>
        <w:rPr>
          <w:rFonts w:hint="eastAsia" w:ascii="Times New Roman" w:hAnsi="Times New Roman" w:eastAsia="黑体"/>
          <w:bCs/>
          <w:strike/>
        </w:rPr>
        <w:t>A条</w:t>
      </w:r>
      <w:r>
        <w:rPr>
          <w:rFonts w:hint="eastAsia" w:ascii="Times New Roman" w:hAnsi="Times New Roman" w:eastAsia="黑体"/>
          <w:bCs/>
        </w:rPr>
        <w:t>第</w:t>
      </w:r>
      <w:r>
        <w:rPr>
          <w:rFonts w:ascii="Times New Roman" w:hAnsi="Times New Roman" w:eastAsia="黑体"/>
          <w:bCs/>
        </w:rPr>
        <w:t>2</w:t>
      </w:r>
      <w:r>
        <w:rPr>
          <w:rFonts w:hint="eastAsia" w:ascii="Times New Roman" w:hAnsi="Times New Roman" w:eastAsia="黑体"/>
          <w:bCs/>
        </w:rPr>
        <w:t xml:space="preserve">7条 </w:t>
      </w:r>
      <w:r>
        <w:rPr>
          <w:rFonts w:ascii="Times New Roman" w:hAnsi="Times New Roman" w:eastAsia="黑体"/>
          <w:bCs/>
        </w:rPr>
        <w:t xml:space="preserve"> </w:t>
      </w:r>
      <w:r>
        <w:rPr>
          <w:rFonts w:hint="eastAsia" w:ascii="Times New Roman" w:hAnsi="Times New Roman" w:eastAsia="黑体"/>
          <w:bCs/>
        </w:rPr>
        <w:t>船舶燃油消耗数据的收集和报告</w:t>
      </w:r>
      <w:r>
        <w:tab/>
      </w:r>
      <w:r>
        <w:fldChar w:fldCharType="begin"/>
      </w:r>
      <w:r>
        <w:instrText xml:space="preserve"> PAGEREF _Toc3197 \h </w:instrText>
      </w:r>
      <w:r>
        <w:fldChar w:fldCharType="separate"/>
      </w:r>
      <w:r>
        <w:t>36</w:t>
      </w:r>
      <w:r>
        <w:fldChar w:fldCharType="end"/>
      </w:r>
      <w:r>
        <w:fldChar w:fldCharType="end"/>
      </w:r>
    </w:p>
    <w:p>
      <w:pPr>
        <w:pStyle w:val="17"/>
        <w:tabs>
          <w:tab w:val="right" w:leader="dot" w:pos="8640"/>
        </w:tabs>
      </w:pPr>
      <w:r>
        <w:fldChar w:fldCharType="begin"/>
      </w:r>
      <w:r>
        <w:instrText xml:space="preserve"> HYPERLINK \l "_Toc1818" </w:instrText>
      </w:r>
      <w:r>
        <w:fldChar w:fldCharType="separate"/>
      </w:r>
      <w:r>
        <w:rPr>
          <w:rFonts w:hint="eastAsia" w:ascii="Times New Roman" w:hAnsi="Times New Roman" w:eastAsia="黑体"/>
          <w:bCs/>
        </w:rPr>
        <w:t>第28条 营运碳强度</w:t>
      </w:r>
      <w:r>
        <w:tab/>
      </w:r>
      <w:r>
        <w:fldChar w:fldCharType="begin"/>
      </w:r>
      <w:r>
        <w:instrText xml:space="preserve"> PAGEREF _Toc1818 \h </w:instrText>
      </w:r>
      <w:r>
        <w:fldChar w:fldCharType="separate"/>
      </w:r>
      <w:r>
        <w:t>38</w:t>
      </w:r>
      <w:r>
        <w:fldChar w:fldCharType="end"/>
      </w:r>
      <w:r>
        <w:fldChar w:fldCharType="end"/>
      </w:r>
    </w:p>
    <w:p>
      <w:pPr>
        <w:pStyle w:val="17"/>
        <w:tabs>
          <w:tab w:val="right" w:leader="dot" w:pos="8640"/>
        </w:tabs>
      </w:pPr>
      <w:r>
        <w:fldChar w:fldCharType="begin"/>
      </w:r>
      <w:r>
        <w:instrText xml:space="preserve"> HYPERLINK \l "_Toc12662" </w:instrText>
      </w:r>
      <w:r>
        <w:fldChar w:fldCharType="separate"/>
      </w:r>
      <w:r>
        <w:rPr>
          <w:rFonts w:hint="eastAsia" w:ascii="Times New Roman" w:hAnsi="Times New Roman" w:eastAsia="黑体"/>
          <w:bCs/>
          <w:strike/>
        </w:rPr>
        <w:t>第</w:t>
      </w:r>
      <w:r>
        <w:rPr>
          <w:rFonts w:ascii="Times New Roman" w:hAnsi="Times New Roman" w:eastAsia="黑体"/>
          <w:bCs/>
          <w:strike/>
        </w:rPr>
        <w:t>2</w:t>
      </w:r>
      <w:r>
        <w:rPr>
          <w:rFonts w:hint="eastAsia" w:ascii="Times New Roman" w:hAnsi="Times New Roman" w:eastAsia="黑体"/>
          <w:bCs/>
          <w:strike/>
        </w:rPr>
        <w:t>3条</w:t>
      </w:r>
      <w:r>
        <w:rPr>
          <w:rFonts w:hint="eastAsia" w:ascii="Times New Roman" w:hAnsi="Times New Roman" w:eastAsia="黑体"/>
          <w:bCs/>
        </w:rPr>
        <w:t>第</w:t>
      </w:r>
      <w:r>
        <w:rPr>
          <w:rFonts w:ascii="Times New Roman" w:hAnsi="Times New Roman" w:eastAsia="黑体"/>
          <w:bCs/>
        </w:rPr>
        <w:t>2</w:t>
      </w:r>
      <w:r>
        <w:rPr>
          <w:rFonts w:hint="eastAsia" w:ascii="Times New Roman" w:hAnsi="Times New Roman" w:eastAsia="黑体"/>
          <w:bCs/>
        </w:rPr>
        <w:t xml:space="preserve">9条 </w:t>
      </w:r>
      <w:r>
        <w:rPr>
          <w:rFonts w:ascii="Times New Roman" w:hAnsi="Times New Roman" w:eastAsia="黑体"/>
          <w:bCs/>
        </w:rPr>
        <w:t xml:space="preserve"> </w:t>
      </w:r>
      <w:r>
        <w:rPr>
          <w:rFonts w:hint="eastAsia" w:ascii="Times New Roman" w:hAnsi="Times New Roman" w:eastAsia="黑体"/>
          <w:bCs/>
        </w:rPr>
        <w:t>促进技术合作和改进船舶能效的相关技术转让</w:t>
      </w:r>
      <w:r>
        <w:tab/>
      </w:r>
      <w:r>
        <w:fldChar w:fldCharType="begin"/>
      </w:r>
      <w:r>
        <w:instrText xml:space="preserve"> PAGEREF _Toc12662 \h </w:instrText>
      </w:r>
      <w:r>
        <w:fldChar w:fldCharType="separate"/>
      </w:r>
      <w:r>
        <w:t>39</w:t>
      </w:r>
      <w:r>
        <w:fldChar w:fldCharType="end"/>
      </w:r>
      <w:r>
        <w:fldChar w:fldCharType="end"/>
      </w:r>
    </w:p>
    <w:p>
      <w:pPr>
        <w:pStyle w:val="21"/>
        <w:tabs>
          <w:tab w:val="right" w:leader="dot" w:pos="8640"/>
        </w:tabs>
      </w:pPr>
      <w:r>
        <w:fldChar w:fldCharType="begin"/>
      </w:r>
      <w:r>
        <w:instrText xml:space="preserve"> HYPERLINK \l "_Toc22587" </w:instrText>
      </w:r>
      <w:r>
        <w:fldChar w:fldCharType="separate"/>
      </w:r>
      <w:r>
        <w:t>V  本附则各项规定的符合性验证</w:t>
      </w:r>
      <w:r>
        <w:tab/>
      </w:r>
      <w:r>
        <w:fldChar w:fldCharType="begin"/>
      </w:r>
      <w:r>
        <w:instrText xml:space="preserve"> PAGEREF _Toc22587 \h </w:instrText>
      </w:r>
      <w:r>
        <w:fldChar w:fldCharType="separate"/>
      </w:r>
      <w:r>
        <w:t>39</w:t>
      </w:r>
      <w:r>
        <w:fldChar w:fldCharType="end"/>
      </w:r>
      <w:r>
        <w:fldChar w:fldCharType="end"/>
      </w:r>
    </w:p>
    <w:p>
      <w:pPr>
        <w:pStyle w:val="17"/>
        <w:tabs>
          <w:tab w:val="right" w:leader="dot" w:pos="8640"/>
        </w:tabs>
      </w:pPr>
      <w:r>
        <w:fldChar w:fldCharType="begin"/>
      </w:r>
      <w:r>
        <w:instrText xml:space="preserve"> HYPERLINK \l "_Toc21777" </w:instrText>
      </w:r>
      <w:r>
        <w:fldChar w:fldCharType="separate"/>
      </w:r>
      <w:r>
        <w:rPr>
          <w:rFonts w:hint="eastAsia" w:ascii="Times New Roman" w:hAnsi="Times New Roman" w:eastAsia="黑体"/>
          <w:bCs/>
        </w:rPr>
        <w:t>第</w:t>
      </w:r>
      <w:r>
        <w:rPr>
          <w:rFonts w:hint="eastAsia" w:ascii="Times New Roman" w:hAnsi="Times New Roman" w:eastAsia="黑体"/>
          <w:bCs/>
          <w:strike/>
        </w:rPr>
        <w:t>24</w:t>
      </w:r>
      <w:r>
        <w:rPr>
          <w:rFonts w:hint="eastAsia" w:ascii="Times New Roman" w:hAnsi="Times New Roman" w:eastAsia="黑体"/>
        </w:rPr>
        <w:t>30</w:t>
      </w:r>
      <w:r>
        <w:rPr>
          <w:rFonts w:hint="eastAsia" w:ascii="Times New Roman" w:hAnsi="Times New Roman" w:eastAsia="黑体"/>
          <w:bCs/>
        </w:rPr>
        <w:t>条 适用范围</w:t>
      </w:r>
      <w:r>
        <w:tab/>
      </w:r>
      <w:r>
        <w:fldChar w:fldCharType="begin"/>
      </w:r>
      <w:r>
        <w:instrText xml:space="preserve"> PAGEREF _Toc21777 \h </w:instrText>
      </w:r>
      <w:r>
        <w:fldChar w:fldCharType="separate"/>
      </w:r>
      <w:r>
        <w:t>39</w:t>
      </w:r>
      <w:r>
        <w:fldChar w:fldCharType="end"/>
      </w:r>
      <w:r>
        <w:fldChar w:fldCharType="end"/>
      </w:r>
    </w:p>
    <w:p>
      <w:pPr>
        <w:pStyle w:val="17"/>
        <w:tabs>
          <w:tab w:val="right" w:leader="dot" w:pos="8640"/>
        </w:tabs>
      </w:pPr>
      <w:r>
        <w:fldChar w:fldCharType="begin"/>
      </w:r>
      <w:r>
        <w:instrText xml:space="preserve"> HYPERLINK \l "_Toc8976" </w:instrText>
      </w:r>
      <w:r>
        <w:fldChar w:fldCharType="separate"/>
      </w:r>
      <w:r>
        <w:rPr>
          <w:rFonts w:hint="eastAsia" w:ascii="Times New Roman" w:hAnsi="Times New Roman" w:eastAsia="黑体"/>
          <w:bCs/>
        </w:rPr>
        <w:t>第</w:t>
      </w:r>
      <w:r>
        <w:rPr>
          <w:rFonts w:hint="eastAsia" w:ascii="Times New Roman" w:hAnsi="Times New Roman" w:eastAsia="黑体"/>
          <w:strike/>
        </w:rPr>
        <w:t>25</w:t>
      </w:r>
      <w:r>
        <w:rPr>
          <w:rFonts w:hint="eastAsia" w:ascii="Times New Roman" w:hAnsi="Times New Roman" w:eastAsia="黑体"/>
        </w:rPr>
        <w:t>31</w:t>
      </w:r>
      <w:r>
        <w:rPr>
          <w:rFonts w:hint="eastAsia" w:ascii="Times New Roman" w:hAnsi="Times New Roman" w:eastAsia="黑体"/>
          <w:bCs/>
        </w:rPr>
        <w:t>条 符合性验证</w:t>
      </w:r>
      <w:r>
        <w:tab/>
      </w:r>
      <w:r>
        <w:fldChar w:fldCharType="begin"/>
      </w:r>
      <w:r>
        <w:instrText xml:space="preserve"> PAGEREF _Toc8976 \h </w:instrText>
      </w:r>
      <w:r>
        <w:fldChar w:fldCharType="separate"/>
      </w:r>
      <w:r>
        <w:t>40</w:t>
      </w:r>
      <w:r>
        <w:fldChar w:fldCharType="end"/>
      </w:r>
      <w:r>
        <w:fldChar w:fldCharType="end"/>
      </w:r>
    </w:p>
    <w:p>
      <w:pPr>
        <w:pStyle w:val="16"/>
        <w:tabs>
          <w:tab w:val="right" w:leader="dot" w:pos="8640"/>
          <w:tab w:val="clear" w:pos="8303"/>
        </w:tabs>
      </w:pPr>
      <w:r>
        <w:fldChar w:fldCharType="begin"/>
      </w:r>
      <w:r>
        <w:instrText xml:space="preserve"> HYPERLINK \l "_Toc25537" </w:instrText>
      </w:r>
      <w:r>
        <w:fldChar w:fldCharType="separate"/>
      </w:r>
      <w:r>
        <w:rPr>
          <w:rFonts w:hint="eastAsia" w:eastAsia="黑体"/>
          <w:szCs w:val="32"/>
          <w:lang w:bidi="ar"/>
        </w:rPr>
        <w:t>附录II  试验循环和加权因数</w:t>
      </w:r>
      <w:r>
        <w:tab/>
      </w:r>
      <w:r>
        <w:fldChar w:fldCharType="begin"/>
      </w:r>
      <w:r>
        <w:instrText xml:space="preserve"> PAGEREF _Toc25537 \h </w:instrText>
      </w:r>
      <w:r>
        <w:fldChar w:fldCharType="separate"/>
      </w:r>
      <w:r>
        <w:t>41</w:t>
      </w:r>
      <w:r>
        <w:fldChar w:fldCharType="end"/>
      </w:r>
      <w:r>
        <w:fldChar w:fldCharType="end"/>
      </w:r>
    </w:p>
    <w:p>
      <w:pPr>
        <w:pStyle w:val="16"/>
        <w:tabs>
          <w:tab w:val="right" w:leader="dot" w:pos="8640"/>
          <w:tab w:val="clear" w:pos="8303"/>
        </w:tabs>
      </w:pPr>
      <w:r>
        <w:fldChar w:fldCharType="begin"/>
      </w:r>
      <w:r>
        <w:instrText xml:space="preserve"> HYPERLINK \l "_Toc30992" </w:instrText>
      </w:r>
      <w:r>
        <w:fldChar w:fldCharType="separate"/>
      </w:r>
      <w:r>
        <w:rPr>
          <w:rFonts w:hint="eastAsia" w:eastAsia="黑体"/>
          <w:szCs w:val="32"/>
          <w:lang w:bidi="ar"/>
        </w:rPr>
        <w:t>附录IV  船上焚烧炉的型式认可和操作限制</w:t>
      </w:r>
      <w:r>
        <w:tab/>
      </w:r>
      <w:r>
        <w:fldChar w:fldCharType="begin"/>
      </w:r>
      <w:r>
        <w:instrText xml:space="preserve"> PAGEREF _Toc30992 \h </w:instrText>
      </w:r>
      <w:r>
        <w:fldChar w:fldCharType="separate"/>
      </w:r>
      <w:r>
        <w:t>41</w:t>
      </w:r>
      <w:r>
        <w:fldChar w:fldCharType="end"/>
      </w:r>
      <w:r>
        <w:fldChar w:fldCharType="end"/>
      </w:r>
    </w:p>
    <w:p>
      <w:pPr>
        <w:pStyle w:val="16"/>
        <w:tabs>
          <w:tab w:val="right" w:leader="dot" w:pos="8640"/>
          <w:tab w:val="clear" w:pos="8303"/>
        </w:tabs>
      </w:pPr>
      <w:r>
        <w:fldChar w:fldCharType="begin"/>
      </w:r>
      <w:r>
        <w:instrText xml:space="preserve"> HYPERLINK \l "_Toc27819" </w:instrText>
      </w:r>
      <w:r>
        <w:fldChar w:fldCharType="separate"/>
      </w:r>
      <w:r>
        <w:rPr>
          <w:rFonts w:hint="eastAsia" w:eastAsia="黑体"/>
          <w:szCs w:val="32"/>
          <w:lang w:bidi="ar"/>
        </w:rPr>
        <w:t>附录</w:t>
      </w:r>
      <w:r>
        <w:rPr>
          <w:rFonts w:eastAsia="黑体"/>
          <w:szCs w:val="32"/>
          <w:lang w:bidi="ar"/>
        </w:rPr>
        <w:t>VI</w:t>
      </w:r>
      <w:r>
        <w:rPr>
          <w:rFonts w:hint="eastAsia" w:eastAsia="黑体"/>
          <w:szCs w:val="32"/>
          <w:lang w:bidi="ar"/>
        </w:rPr>
        <w:t xml:space="preserve">  </w:t>
      </w:r>
      <w:r>
        <w:rPr>
          <w:rFonts w:eastAsia="黑体"/>
          <w:szCs w:val="32"/>
          <w:lang w:bidi="ar"/>
        </w:rPr>
        <w:t>MARPOL附则VI燃油样品的燃油验证程序</w:t>
      </w:r>
      <w:r>
        <w:tab/>
      </w:r>
      <w:r>
        <w:fldChar w:fldCharType="begin"/>
      </w:r>
      <w:r>
        <w:instrText xml:space="preserve"> PAGEREF _Toc27819 \h </w:instrText>
      </w:r>
      <w:r>
        <w:fldChar w:fldCharType="separate"/>
      </w:r>
      <w:r>
        <w:t>41</w:t>
      </w:r>
      <w:r>
        <w:fldChar w:fldCharType="end"/>
      </w:r>
      <w:r>
        <w:fldChar w:fldCharType="end"/>
      </w:r>
    </w:p>
    <w:p>
      <w:pPr>
        <w:pStyle w:val="16"/>
        <w:tabs>
          <w:tab w:val="right" w:leader="dot" w:pos="8640"/>
          <w:tab w:val="clear" w:pos="8303"/>
        </w:tabs>
      </w:pPr>
      <w:r>
        <w:fldChar w:fldCharType="begin"/>
      </w:r>
      <w:r>
        <w:instrText xml:space="preserve"> HYPERLINK \l "_Toc2610" </w:instrText>
      </w:r>
      <w:r>
        <w:fldChar w:fldCharType="separate"/>
      </w:r>
      <w:r>
        <w:rPr>
          <w:rFonts w:eastAsia="黑体"/>
          <w:szCs w:val="32"/>
          <w:lang w:bidi="ar"/>
        </w:rPr>
        <w:t>附录IX  应向IMO船舶燃油消耗数据库提交的信息</w:t>
      </w:r>
      <w:r>
        <w:tab/>
      </w:r>
      <w:r>
        <w:fldChar w:fldCharType="begin"/>
      </w:r>
      <w:r>
        <w:instrText xml:space="preserve"> PAGEREF _Toc2610 \h </w:instrText>
      </w:r>
      <w:r>
        <w:fldChar w:fldCharType="separate"/>
      </w:r>
      <w:r>
        <w:t>44</w:t>
      </w:r>
      <w:r>
        <w:fldChar w:fldCharType="end"/>
      </w:r>
      <w:r>
        <w:fldChar w:fldCharType="end"/>
      </w:r>
    </w:p>
    <w:p>
      <w:pPr>
        <w:pStyle w:val="16"/>
        <w:tabs>
          <w:tab w:val="right" w:leader="dot" w:pos="8640"/>
          <w:tab w:val="clear" w:pos="8303"/>
        </w:tabs>
      </w:pPr>
      <w:r>
        <w:fldChar w:fldCharType="begin"/>
      </w:r>
      <w:r>
        <w:instrText xml:space="preserve"> HYPERLINK \l "_Toc20423" </w:instrText>
      </w:r>
      <w:r>
        <w:fldChar w:fldCharType="separate"/>
      </w:r>
      <w:r>
        <w:rPr>
          <w:rFonts w:hint="eastAsia" w:eastAsia="黑体"/>
          <w:szCs w:val="32"/>
          <w:lang w:bidi="ar"/>
        </w:rPr>
        <w:t>附录</w:t>
      </w:r>
      <w:r>
        <w:rPr>
          <w:rFonts w:eastAsia="黑体"/>
          <w:szCs w:val="32"/>
          <w:lang w:bidi="ar"/>
        </w:rPr>
        <w:t xml:space="preserve">X  </w:t>
      </w:r>
      <w:r>
        <w:rPr>
          <w:rFonts w:hint="eastAsia" w:eastAsia="黑体"/>
          <w:szCs w:val="32"/>
          <w:lang w:bidi="ar"/>
        </w:rPr>
        <w:t>符合声明格式—</w:t>
      </w:r>
      <w:r>
        <w:rPr>
          <w:rFonts w:hint="eastAsia" w:eastAsia="黑体"/>
          <w:strike/>
          <w:szCs w:val="32"/>
          <w:lang w:bidi="ar"/>
        </w:rPr>
        <w:t>燃油消耗报告</w:t>
      </w:r>
      <w:r>
        <w:rPr>
          <w:rFonts w:hint="eastAsia" w:eastAsia="黑体"/>
          <w:szCs w:val="32"/>
          <w:lang w:bidi="ar"/>
        </w:rPr>
        <w:t>燃油消耗报告和营运</w:t>
      </w:r>
      <w:r>
        <w:rPr>
          <w:rFonts w:eastAsia="黑体"/>
          <w:szCs w:val="32"/>
          <w:lang w:bidi="ar"/>
        </w:rPr>
        <w:t>碳强度评级</w:t>
      </w:r>
      <w:r>
        <w:rPr>
          <w:szCs w:val="21"/>
        </w:rPr>
        <w:t>”</w:t>
      </w:r>
      <w:r>
        <w:tab/>
      </w:r>
      <w:r>
        <w:fldChar w:fldCharType="begin"/>
      </w:r>
      <w:r>
        <w:instrText xml:space="preserve"> PAGEREF _Toc20423 \h </w:instrText>
      </w:r>
      <w:r>
        <w:fldChar w:fldCharType="separate"/>
      </w:r>
      <w:r>
        <w:t>44</w:t>
      </w:r>
      <w:r>
        <w:fldChar w:fldCharType="end"/>
      </w:r>
      <w:r>
        <w:fldChar w:fldCharType="end"/>
      </w:r>
    </w:p>
    <w:p>
      <w:pPr>
        <w:pStyle w:val="16"/>
        <w:tabs>
          <w:tab w:val="right" w:leader="dot" w:pos="8640"/>
          <w:tab w:val="clear" w:pos="8303"/>
        </w:tabs>
      </w:pPr>
      <w:r>
        <w:fldChar w:fldCharType="begin"/>
      </w:r>
      <w:r>
        <w:instrText xml:space="preserve"> HYPERLINK \l "_Toc20224" </w:instrText>
      </w:r>
      <w:r>
        <w:fldChar w:fldCharType="separate"/>
      </w:r>
      <w:r>
        <w:rPr>
          <w:rFonts w:hint="eastAsia" w:eastAsia="黑体"/>
          <w:szCs w:val="32"/>
          <w:lang w:bidi="ar"/>
        </w:rPr>
        <w:t>附录XII  无人非自航驳船免除证书格式</w:t>
      </w:r>
      <w:r>
        <w:tab/>
      </w:r>
      <w:r>
        <w:fldChar w:fldCharType="begin"/>
      </w:r>
      <w:r>
        <w:instrText xml:space="preserve"> PAGEREF _Toc20224 \h </w:instrText>
      </w:r>
      <w:r>
        <w:fldChar w:fldCharType="separate"/>
      </w:r>
      <w:r>
        <w:t>44</w:t>
      </w:r>
      <w:r>
        <w:fldChar w:fldCharType="end"/>
      </w:r>
      <w:r>
        <w:fldChar w:fldCharType="end"/>
      </w:r>
    </w:p>
    <w:p>
      <w:pPr>
        <w:pStyle w:val="17"/>
        <w:tabs>
          <w:tab w:val="right" w:leader="dot" w:pos="8640"/>
        </w:tabs>
      </w:pPr>
      <w:r>
        <w:fldChar w:fldCharType="begin"/>
      </w:r>
      <w:r>
        <w:instrText xml:space="preserve"> HYPERLINK \l "_Toc8730" </w:instrText>
      </w:r>
      <w:r>
        <w:fldChar w:fldCharType="separate"/>
      </w:r>
      <w:r>
        <w:rPr>
          <w:rFonts w:hint="eastAsia" w:ascii="Times New Roman" w:hAnsi="Times New Roman" w:eastAsia="宋体" w:cs="Times New Roman"/>
          <w:lang w:bidi="ar"/>
        </w:rPr>
        <w:t>无人非自航（UNSP）驳船国际防止空气污染免除证书</w:t>
      </w:r>
      <w:r>
        <w:tab/>
      </w:r>
      <w:r>
        <w:fldChar w:fldCharType="begin"/>
      </w:r>
      <w:r>
        <w:instrText xml:space="preserve"> PAGEREF _Toc8730 \h </w:instrText>
      </w:r>
      <w:r>
        <w:fldChar w:fldCharType="separate"/>
      </w:r>
      <w:r>
        <w:t>44</w:t>
      </w:r>
      <w:r>
        <w:fldChar w:fldCharType="end"/>
      </w:r>
      <w:r>
        <w:fldChar w:fldCharType="end"/>
      </w:r>
    </w:p>
    <w:p>
      <w:pPr>
        <w:pStyle w:val="16"/>
        <w:tabs>
          <w:tab w:val="right" w:leader="dot" w:pos="8640"/>
          <w:tab w:val="clear" w:pos="8303"/>
        </w:tabs>
      </w:pPr>
      <w:r>
        <w:fldChar w:fldCharType="begin"/>
      </w:r>
      <w:r>
        <w:instrText xml:space="preserve"> HYPERLINK \l "_Toc13417" </w:instrText>
      </w:r>
      <w:r>
        <w:fldChar w:fldCharType="separate"/>
      </w:r>
      <w:r>
        <w:t>第7章  控制船舶有害防污底系统污染规则</w:t>
      </w:r>
      <w:r>
        <w:tab/>
      </w:r>
      <w:r>
        <w:fldChar w:fldCharType="begin"/>
      </w:r>
      <w:r>
        <w:instrText xml:space="preserve"> PAGEREF _Toc13417 \h </w:instrText>
      </w:r>
      <w:r>
        <w:fldChar w:fldCharType="separate"/>
      </w:r>
      <w:r>
        <w:t>45</w:t>
      </w:r>
      <w:r>
        <w:fldChar w:fldCharType="end"/>
      </w:r>
      <w:r>
        <w:fldChar w:fldCharType="end"/>
      </w:r>
    </w:p>
    <w:p>
      <w:pPr>
        <w:pStyle w:val="21"/>
        <w:tabs>
          <w:tab w:val="right" w:leader="dot" w:pos="8640"/>
        </w:tabs>
      </w:pPr>
      <w:r>
        <w:fldChar w:fldCharType="begin"/>
      </w:r>
      <w:r>
        <w:instrText xml:space="preserve"> HYPERLINK \l "_Toc8409" </w:instrText>
      </w:r>
      <w:r>
        <w:fldChar w:fldCharType="separate"/>
      </w:r>
      <w:r>
        <w:t>I  总    则</w:t>
      </w:r>
      <w:r>
        <w:tab/>
      </w:r>
      <w:r>
        <w:fldChar w:fldCharType="begin"/>
      </w:r>
      <w:r>
        <w:instrText xml:space="preserve"> PAGEREF _Toc8409 \h </w:instrText>
      </w:r>
      <w:r>
        <w:fldChar w:fldCharType="separate"/>
      </w:r>
      <w:r>
        <w:t>45</w:t>
      </w:r>
      <w:r>
        <w:fldChar w:fldCharType="end"/>
      </w:r>
      <w:r>
        <w:fldChar w:fldCharType="end"/>
      </w:r>
    </w:p>
    <w:p>
      <w:pPr>
        <w:pStyle w:val="21"/>
        <w:tabs>
          <w:tab w:val="right" w:leader="dot" w:pos="8640"/>
        </w:tabs>
      </w:pPr>
      <w:r>
        <w:fldChar w:fldCharType="begin"/>
      </w:r>
      <w:r>
        <w:instrText xml:space="preserve"> HYPERLINK \l "_Toc24289" </w:instrText>
      </w:r>
      <w:r>
        <w:fldChar w:fldCharType="separate"/>
      </w:r>
      <w:r>
        <w:t xml:space="preserve">II  </w:t>
      </w:r>
      <w:r>
        <w:rPr>
          <w:bCs/>
        </w:rPr>
        <w:t>防污底系统控制要求（AFS公约附则1）</w:t>
      </w:r>
      <w:r>
        <w:tab/>
      </w:r>
      <w:r>
        <w:fldChar w:fldCharType="begin"/>
      </w:r>
      <w:r>
        <w:instrText xml:space="preserve"> PAGEREF _Toc24289 \h </w:instrText>
      </w:r>
      <w:r>
        <w:fldChar w:fldCharType="separate"/>
      </w:r>
      <w:r>
        <w:t>45</w:t>
      </w:r>
      <w:r>
        <w:fldChar w:fldCharType="end"/>
      </w:r>
      <w:r>
        <w:fldChar w:fldCharType="end"/>
      </w:r>
    </w:p>
    <w:p>
      <w:pPr>
        <w:pStyle w:val="17"/>
        <w:tabs>
          <w:tab w:val="right" w:leader="dot" w:pos="8640"/>
        </w:tabs>
      </w:pPr>
      <w:r>
        <w:fldChar w:fldCharType="begin"/>
      </w:r>
      <w:r>
        <w:instrText xml:space="preserve"> HYPERLINK \l "_Toc4716" </w:instrText>
      </w:r>
      <w:r>
        <w:fldChar w:fldCharType="separate"/>
      </w:r>
      <w:r>
        <w:rPr>
          <w:rFonts w:hint="eastAsia" w:ascii="Times New Roman" w:hAnsi="Times New Roman" w:eastAsia="黑体"/>
          <w:bCs/>
        </w:rPr>
        <w:t>第1</w:t>
      </w:r>
      <w:r>
        <w:rPr>
          <w:rFonts w:ascii="Times New Roman" w:hAnsi="Times New Roman" w:eastAsia="黑体"/>
          <w:bCs/>
        </w:rPr>
        <w:t>条</w:t>
      </w:r>
      <w:r>
        <w:rPr>
          <w:rFonts w:hint="eastAsia" w:ascii="Times New Roman" w:hAnsi="Times New Roman" w:eastAsia="黑体"/>
          <w:bCs/>
        </w:rPr>
        <w:t xml:space="preserve"> </w:t>
      </w:r>
      <w:r>
        <w:rPr>
          <w:rFonts w:ascii="Times New Roman" w:hAnsi="Times New Roman" w:eastAsia="黑体"/>
          <w:bCs/>
        </w:rPr>
        <w:t xml:space="preserve"> </w:t>
      </w:r>
      <w:r>
        <w:rPr>
          <w:rFonts w:hint="eastAsia" w:ascii="Times New Roman" w:hAnsi="Times New Roman" w:eastAsia="黑体"/>
          <w:bCs/>
        </w:rPr>
        <w:t>防污底系统控制要求</w:t>
      </w:r>
      <w:r>
        <w:tab/>
      </w:r>
      <w:r>
        <w:fldChar w:fldCharType="begin"/>
      </w:r>
      <w:r>
        <w:instrText xml:space="preserve"> PAGEREF _Toc4716 \h </w:instrText>
      </w:r>
      <w:r>
        <w:fldChar w:fldCharType="separate"/>
      </w:r>
      <w:r>
        <w:t>45</w:t>
      </w:r>
      <w:r>
        <w:fldChar w:fldCharType="end"/>
      </w:r>
      <w:r>
        <w:fldChar w:fldCharType="end"/>
      </w:r>
    </w:p>
    <w:p>
      <w:pPr>
        <w:pStyle w:val="21"/>
        <w:tabs>
          <w:tab w:val="right" w:leader="dot" w:pos="8640"/>
        </w:tabs>
      </w:pPr>
      <w:r>
        <w:fldChar w:fldCharType="begin"/>
      </w:r>
      <w:r>
        <w:instrText xml:space="preserve"> HYPERLINK \l "_Toc2007" </w:instrText>
      </w:r>
      <w:r>
        <w:fldChar w:fldCharType="separate"/>
      </w:r>
      <w:r>
        <w:t>III 检验和发证要求（AFS公约附则4）</w:t>
      </w:r>
      <w:r>
        <w:rPr>
          <w:rFonts w:hint="eastAsia" w:ascii="宋体" w:hAnsi="宋体" w:cs="宋体"/>
          <w:szCs w:val="21"/>
        </w:rPr>
        <w:t>”</w:t>
      </w:r>
      <w:r>
        <w:tab/>
      </w:r>
      <w:r>
        <w:fldChar w:fldCharType="begin"/>
      </w:r>
      <w:r>
        <w:instrText xml:space="preserve"> PAGEREF _Toc2007 \h </w:instrText>
      </w:r>
      <w:r>
        <w:fldChar w:fldCharType="separate"/>
      </w:r>
      <w:r>
        <w:t>46</w:t>
      </w:r>
      <w:r>
        <w:fldChar w:fldCharType="end"/>
      </w:r>
      <w:r>
        <w:fldChar w:fldCharType="end"/>
      </w:r>
    </w:p>
    <w:p>
      <w:pPr>
        <w:pStyle w:val="17"/>
        <w:tabs>
          <w:tab w:val="right" w:leader="dot" w:pos="8640"/>
        </w:tabs>
      </w:pPr>
      <w:r>
        <w:fldChar w:fldCharType="begin"/>
      </w:r>
      <w:r>
        <w:instrText xml:space="preserve"> HYPERLINK \l "_Toc11425" </w:instrText>
      </w:r>
      <w:r>
        <w:fldChar w:fldCharType="separate"/>
      </w:r>
      <w:r>
        <w:rPr>
          <w:rFonts w:hint="eastAsia" w:ascii="Times New Roman" w:hAnsi="Times New Roman" w:eastAsia="黑体"/>
          <w:bCs/>
        </w:rPr>
        <w:t>第</w:t>
      </w:r>
      <w:r>
        <w:rPr>
          <w:rFonts w:ascii="Times New Roman" w:hAnsi="Times New Roman" w:eastAsia="黑体"/>
          <w:bCs/>
          <w:strike/>
        </w:rPr>
        <w:t>4</w:t>
      </w:r>
      <w:r>
        <w:rPr>
          <w:rFonts w:hint="eastAsia" w:ascii="Times New Roman" w:hAnsi="Times New Roman" w:eastAsia="黑体"/>
          <w:bCs/>
          <w:strike/>
        </w:rPr>
        <w:t xml:space="preserve"> </w:t>
      </w:r>
      <w:r>
        <w:rPr>
          <w:rFonts w:hint="eastAsia" w:ascii="Times New Roman" w:hAnsi="Times New Roman" w:eastAsia="黑体"/>
          <w:bCs/>
        </w:rPr>
        <w:t>1条  检    验</w:t>
      </w:r>
      <w:r>
        <w:tab/>
      </w:r>
      <w:r>
        <w:fldChar w:fldCharType="begin"/>
      </w:r>
      <w:r>
        <w:instrText xml:space="preserve"> PAGEREF _Toc11425 \h </w:instrText>
      </w:r>
      <w:r>
        <w:fldChar w:fldCharType="separate"/>
      </w:r>
      <w:r>
        <w:t>46</w:t>
      </w:r>
      <w:r>
        <w:fldChar w:fldCharType="end"/>
      </w:r>
      <w:r>
        <w:fldChar w:fldCharType="end"/>
      </w:r>
    </w:p>
    <w:p>
      <w:pPr>
        <w:pStyle w:val="17"/>
        <w:tabs>
          <w:tab w:val="right" w:leader="dot" w:pos="8640"/>
        </w:tabs>
      </w:pPr>
      <w:r>
        <w:fldChar w:fldCharType="begin"/>
      </w:r>
      <w:r>
        <w:instrText xml:space="preserve"> HYPERLINK \l "_Toc20363" </w:instrText>
      </w:r>
      <w:r>
        <w:fldChar w:fldCharType="separate"/>
      </w:r>
      <w:r>
        <w:rPr>
          <w:rFonts w:hint="eastAsia" w:ascii="Times New Roman" w:hAnsi="Times New Roman" w:eastAsia="黑体"/>
          <w:bCs/>
        </w:rPr>
        <w:t>第</w:t>
      </w:r>
      <w:r>
        <w:rPr>
          <w:rFonts w:ascii="Times New Roman" w:hAnsi="Times New Roman" w:eastAsia="黑体"/>
          <w:bCs/>
          <w:strike/>
        </w:rPr>
        <w:t>5</w:t>
      </w:r>
      <w:r>
        <w:rPr>
          <w:rFonts w:hint="eastAsia" w:ascii="Times New Roman" w:hAnsi="Times New Roman" w:eastAsia="黑体"/>
          <w:bCs/>
        </w:rPr>
        <w:t xml:space="preserve">2条  </w:t>
      </w:r>
      <w:r>
        <w:rPr>
          <w:rFonts w:ascii="Times New Roman" w:hAnsi="Times New Roman" w:eastAsia="黑体"/>
          <w:bCs/>
        </w:rPr>
        <w:t>证书</w:t>
      </w:r>
      <w:r>
        <w:rPr>
          <w:rFonts w:hint="eastAsia" w:ascii="Times New Roman" w:hAnsi="Times New Roman" w:eastAsia="黑体"/>
          <w:bCs/>
        </w:rPr>
        <w:t>的签发或签署</w:t>
      </w:r>
      <w:r>
        <w:tab/>
      </w:r>
      <w:r>
        <w:fldChar w:fldCharType="begin"/>
      </w:r>
      <w:r>
        <w:instrText xml:space="preserve"> PAGEREF _Toc20363 \h </w:instrText>
      </w:r>
      <w:r>
        <w:fldChar w:fldCharType="separate"/>
      </w:r>
      <w:r>
        <w:t>46</w:t>
      </w:r>
      <w:r>
        <w:fldChar w:fldCharType="end"/>
      </w:r>
      <w:r>
        <w:fldChar w:fldCharType="end"/>
      </w:r>
    </w:p>
    <w:p>
      <w:pPr>
        <w:pStyle w:val="17"/>
        <w:tabs>
          <w:tab w:val="right" w:leader="dot" w:pos="8640"/>
        </w:tabs>
      </w:pPr>
      <w:r>
        <w:fldChar w:fldCharType="begin"/>
      </w:r>
      <w:r>
        <w:instrText xml:space="preserve"> HYPERLINK \l "_Toc4518" </w:instrText>
      </w:r>
      <w:r>
        <w:fldChar w:fldCharType="separate"/>
      </w:r>
      <w:r>
        <w:rPr>
          <w:rFonts w:hint="eastAsia" w:ascii="Times New Roman" w:hAnsi="Times New Roman" w:eastAsia="黑体"/>
          <w:bCs/>
        </w:rPr>
        <w:t>第</w:t>
      </w:r>
      <w:r>
        <w:rPr>
          <w:rFonts w:ascii="Times New Roman" w:hAnsi="Times New Roman" w:eastAsia="黑体" w:cs="Times New Roman"/>
          <w:bCs/>
          <w:strike/>
        </w:rPr>
        <w:t>6</w:t>
      </w:r>
      <w:r>
        <w:rPr>
          <w:rFonts w:ascii="Times New Roman" w:hAnsi="Times New Roman" w:eastAsia="黑体" w:cs="Times New Roman"/>
          <w:bCs/>
        </w:rPr>
        <w:t>3条  他国签发或签署证书</w:t>
      </w:r>
      <w:r>
        <w:tab/>
      </w:r>
      <w:r>
        <w:fldChar w:fldCharType="begin"/>
      </w:r>
      <w:r>
        <w:instrText xml:space="preserve"> PAGEREF _Toc4518 \h </w:instrText>
      </w:r>
      <w:r>
        <w:fldChar w:fldCharType="separate"/>
      </w:r>
      <w:r>
        <w:t>47</w:t>
      </w:r>
      <w:r>
        <w:fldChar w:fldCharType="end"/>
      </w:r>
      <w:r>
        <w:fldChar w:fldCharType="end"/>
      </w:r>
    </w:p>
    <w:p>
      <w:pPr>
        <w:pStyle w:val="17"/>
        <w:tabs>
          <w:tab w:val="right" w:leader="dot" w:pos="8640"/>
        </w:tabs>
      </w:pPr>
      <w:r>
        <w:fldChar w:fldCharType="begin"/>
      </w:r>
      <w:r>
        <w:instrText xml:space="preserve"> HYPERLINK \l "_Toc28350" </w:instrText>
      </w:r>
      <w:r>
        <w:fldChar w:fldCharType="separate"/>
      </w:r>
      <w:r>
        <w:rPr>
          <w:rFonts w:hint="eastAsia" w:ascii="Times New Roman" w:hAnsi="Times New Roman" w:eastAsia="黑体"/>
          <w:bCs/>
        </w:rPr>
        <w:t>第</w:t>
      </w:r>
      <w:r>
        <w:rPr>
          <w:rFonts w:ascii="Times New Roman" w:hAnsi="Times New Roman" w:eastAsia="黑体"/>
          <w:bCs/>
          <w:strike/>
        </w:rPr>
        <w:t>7</w:t>
      </w:r>
      <w:r>
        <w:rPr>
          <w:rFonts w:hint="eastAsia" w:ascii="Times New Roman" w:hAnsi="Times New Roman" w:eastAsia="黑体"/>
          <w:bCs/>
        </w:rPr>
        <w:t>4条  证书的有效性</w:t>
      </w:r>
      <w:r>
        <w:tab/>
      </w:r>
      <w:r>
        <w:fldChar w:fldCharType="begin"/>
      </w:r>
      <w:r>
        <w:instrText xml:space="preserve"> PAGEREF _Toc28350 \h </w:instrText>
      </w:r>
      <w:r>
        <w:fldChar w:fldCharType="separate"/>
      </w:r>
      <w:r>
        <w:t>47</w:t>
      </w:r>
      <w:r>
        <w:fldChar w:fldCharType="end"/>
      </w:r>
      <w:r>
        <w:fldChar w:fldCharType="end"/>
      </w:r>
    </w:p>
    <w:p>
      <w:pPr>
        <w:pStyle w:val="17"/>
        <w:tabs>
          <w:tab w:val="right" w:leader="dot" w:pos="8640"/>
        </w:tabs>
      </w:pPr>
      <w:r>
        <w:fldChar w:fldCharType="begin"/>
      </w:r>
      <w:r>
        <w:instrText xml:space="preserve"> HYPERLINK \l "_Toc16751" </w:instrText>
      </w:r>
      <w:r>
        <w:fldChar w:fldCharType="separate"/>
      </w:r>
      <w:r>
        <w:rPr>
          <w:rFonts w:hint="eastAsia" w:ascii="Times New Roman" w:hAnsi="Times New Roman" w:eastAsia="黑体"/>
          <w:bCs/>
        </w:rPr>
        <w:t>第</w:t>
      </w:r>
      <w:r>
        <w:rPr>
          <w:rFonts w:ascii="Times New Roman" w:hAnsi="Times New Roman" w:eastAsia="黑体"/>
          <w:bCs/>
          <w:strike/>
        </w:rPr>
        <w:t>8</w:t>
      </w:r>
      <w:r>
        <w:rPr>
          <w:rFonts w:hint="eastAsia" w:ascii="Times New Roman" w:hAnsi="Times New Roman" w:eastAsia="黑体"/>
          <w:bCs/>
        </w:rPr>
        <w:t>5条  《防污底系统声明》</w:t>
      </w:r>
      <w:r>
        <w:tab/>
      </w:r>
      <w:r>
        <w:fldChar w:fldCharType="begin"/>
      </w:r>
      <w:r>
        <w:instrText xml:space="preserve"> PAGEREF _Toc16751 \h </w:instrText>
      </w:r>
      <w:r>
        <w:fldChar w:fldCharType="separate"/>
      </w:r>
      <w:r>
        <w:t>47</w:t>
      </w:r>
      <w:r>
        <w:fldChar w:fldCharType="end"/>
      </w:r>
      <w:r>
        <w:fldChar w:fldCharType="end"/>
      </w:r>
    </w:p>
    <w:p>
      <w:pPr>
        <w:pStyle w:val="16"/>
        <w:tabs>
          <w:tab w:val="right" w:leader="dot" w:pos="8640"/>
          <w:tab w:val="clear" w:pos="8303"/>
        </w:tabs>
      </w:pPr>
      <w:r>
        <w:fldChar w:fldCharType="begin"/>
      </w:r>
      <w:r>
        <w:instrText xml:space="preserve"> HYPERLINK \l "_Toc20191" </w:instrText>
      </w:r>
      <w:r>
        <w:fldChar w:fldCharType="separate"/>
      </w:r>
      <w:r>
        <w:rPr>
          <w:rFonts w:hint="eastAsia" w:eastAsia="黑体"/>
          <w:szCs w:val="32"/>
          <w:lang w:bidi="ar"/>
        </w:rPr>
        <w:t>附录</w:t>
      </w:r>
      <w:r>
        <w:rPr>
          <w:rFonts w:eastAsia="黑体"/>
          <w:szCs w:val="32"/>
          <w:lang w:bidi="ar"/>
        </w:rPr>
        <w:t>I</w:t>
      </w:r>
      <w:r>
        <w:rPr>
          <w:rFonts w:hint="eastAsia" w:eastAsia="黑体"/>
          <w:szCs w:val="32"/>
          <w:lang w:bidi="ar"/>
        </w:rPr>
        <w:t xml:space="preserve">  《国际防污底系统证书》格式</w:t>
      </w:r>
      <w:r>
        <w:rPr>
          <w:rFonts w:hint="eastAsia" w:ascii="宋体" w:hAnsi="宋体" w:cs="宋体"/>
          <w:szCs w:val="21"/>
        </w:rPr>
        <w:t>”</w:t>
      </w:r>
      <w:r>
        <w:tab/>
      </w:r>
      <w:r>
        <w:fldChar w:fldCharType="begin"/>
      </w:r>
      <w:r>
        <w:instrText xml:space="preserve"> PAGEREF _Toc20191 \h </w:instrText>
      </w:r>
      <w:r>
        <w:fldChar w:fldCharType="separate"/>
      </w:r>
      <w:r>
        <w:t>48</w:t>
      </w:r>
      <w:r>
        <w:fldChar w:fldCharType="end"/>
      </w:r>
      <w:r>
        <w:fldChar w:fldCharType="end"/>
      </w:r>
    </w:p>
    <w:p>
      <w:pPr>
        <w:pStyle w:val="16"/>
        <w:tabs>
          <w:tab w:val="right" w:leader="dot" w:pos="8640"/>
          <w:tab w:val="clear" w:pos="8303"/>
        </w:tabs>
      </w:pPr>
      <w:r>
        <w:fldChar w:fldCharType="begin"/>
      </w:r>
      <w:r>
        <w:instrText xml:space="preserve"> HYPERLINK \l "_Toc3000" </w:instrText>
      </w:r>
      <w:r>
        <w:fldChar w:fldCharType="separate"/>
      </w:r>
      <w:r>
        <w:t>第9章 船舶压载水和沉积物控制和管理规则</w:t>
      </w:r>
      <w:r>
        <w:tab/>
      </w:r>
      <w:r>
        <w:fldChar w:fldCharType="begin"/>
      </w:r>
      <w:r>
        <w:instrText xml:space="preserve"> PAGEREF _Toc3000 \h </w:instrText>
      </w:r>
      <w:r>
        <w:fldChar w:fldCharType="separate"/>
      </w:r>
      <w:r>
        <w:t>49</w:t>
      </w:r>
      <w:r>
        <w:fldChar w:fldCharType="end"/>
      </w:r>
      <w:r>
        <w:fldChar w:fldCharType="end"/>
      </w:r>
    </w:p>
    <w:p>
      <w:pPr>
        <w:pStyle w:val="21"/>
        <w:tabs>
          <w:tab w:val="right" w:leader="dot" w:pos="8640"/>
        </w:tabs>
      </w:pPr>
      <w:r>
        <w:fldChar w:fldCharType="begin"/>
      </w:r>
      <w:r>
        <w:instrText xml:space="preserve"> HYPERLINK \l "_Toc1182" </w:instrText>
      </w:r>
      <w:r>
        <w:fldChar w:fldCharType="separate"/>
      </w:r>
      <w:r>
        <w:t>D部分  压载水管理标准</w:t>
      </w:r>
      <w:r>
        <w:tab/>
      </w:r>
      <w:r>
        <w:fldChar w:fldCharType="begin"/>
      </w:r>
      <w:r>
        <w:instrText xml:space="preserve"> PAGEREF _Toc1182 \h </w:instrText>
      </w:r>
      <w:r>
        <w:fldChar w:fldCharType="separate"/>
      </w:r>
      <w:r>
        <w:t>49</w:t>
      </w:r>
      <w:r>
        <w:fldChar w:fldCharType="end"/>
      </w:r>
      <w:r>
        <w:fldChar w:fldCharType="end"/>
      </w:r>
    </w:p>
    <w:p>
      <w:pPr>
        <w:pStyle w:val="17"/>
        <w:tabs>
          <w:tab w:val="right" w:leader="dot" w:pos="8640"/>
        </w:tabs>
      </w:pPr>
      <w:r>
        <w:fldChar w:fldCharType="begin"/>
      </w:r>
      <w:r>
        <w:instrText xml:space="preserve"> HYPERLINK \l "_Toc11981" </w:instrText>
      </w:r>
      <w:r>
        <w:fldChar w:fldCharType="separate"/>
      </w:r>
      <w:r>
        <w:rPr>
          <w:rFonts w:hint="eastAsia" w:ascii="Times New Roman" w:hAnsi="Times New Roman" w:eastAsia="黑体" w:cs="Times New Roman"/>
          <w:bCs/>
        </w:rPr>
        <w:t>第D-3条  压载水管理系统的批准要求</w:t>
      </w:r>
      <w:r>
        <w:tab/>
      </w:r>
      <w:r>
        <w:fldChar w:fldCharType="begin"/>
      </w:r>
      <w:r>
        <w:instrText xml:space="preserve"> PAGEREF _Toc11981 \h </w:instrText>
      </w:r>
      <w:r>
        <w:fldChar w:fldCharType="separate"/>
      </w:r>
      <w:r>
        <w:t>49</w:t>
      </w:r>
      <w:r>
        <w:fldChar w:fldCharType="end"/>
      </w:r>
      <w:r>
        <w:fldChar w:fldCharType="end"/>
      </w:r>
    </w:p>
    <w:p>
      <w:pPr>
        <w:pStyle w:val="21"/>
        <w:tabs>
          <w:tab w:val="right" w:leader="dot" w:pos="8640"/>
        </w:tabs>
      </w:pPr>
      <w:r>
        <w:fldChar w:fldCharType="begin"/>
      </w:r>
      <w:r>
        <w:instrText xml:space="preserve"> HYPERLINK \l "_Toc18441" </w:instrText>
      </w:r>
      <w:r>
        <w:fldChar w:fldCharType="separate"/>
      </w:r>
      <w:r>
        <w:t>E部分  压载水管理的检验和发证要求</w:t>
      </w:r>
      <w:r>
        <w:tab/>
      </w:r>
      <w:r>
        <w:fldChar w:fldCharType="begin"/>
      </w:r>
      <w:r>
        <w:instrText xml:space="preserve"> PAGEREF _Toc18441 \h </w:instrText>
      </w:r>
      <w:r>
        <w:fldChar w:fldCharType="separate"/>
      </w:r>
      <w:r>
        <w:t>49</w:t>
      </w:r>
      <w:r>
        <w:fldChar w:fldCharType="end"/>
      </w:r>
      <w:r>
        <w:fldChar w:fldCharType="end"/>
      </w:r>
    </w:p>
    <w:p>
      <w:pPr>
        <w:pStyle w:val="17"/>
        <w:tabs>
          <w:tab w:val="right" w:leader="dot" w:pos="8640"/>
        </w:tabs>
      </w:pPr>
      <w:r>
        <w:fldChar w:fldCharType="begin"/>
      </w:r>
      <w:r>
        <w:instrText xml:space="preserve"> HYPERLINK \l "_Toc29103" </w:instrText>
      </w:r>
      <w:r>
        <w:fldChar w:fldCharType="separate"/>
      </w:r>
      <w:r>
        <w:rPr>
          <w:rFonts w:hint="eastAsia" w:ascii="Times New Roman" w:hAnsi="Times New Roman" w:eastAsia="黑体" w:cs="Times New Roman"/>
          <w:bCs/>
        </w:rPr>
        <w:t>第D-3条  压载水管理系统的批准要求</w:t>
      </w:r>
      <w:r>
        <w:tab/>
      </w:r>
      <w:r>
        <w:fldChar w:fldCharType="begin"/>
      </w:r>
      <w:r>
        <w:instrText xml:space="preserve"> PAGEREF _Toc29103 \h </w:instrText>
      </w:r>
      <w:r>
        <w:fldChar w:fldCharType="separate"/>
      </w:r>
      <w:r>
        <w:t>49</w:t>
      </w:r>
      <w:r>
        <w:fldChar w:fldCharType="end"/>
      </w:r>
      <w:r>
        <w:fldChar w:fldCharType="end"/>
      </w:r>
    </w:p>
    <w:p>
      <w:pPr>
        <w:pStyle w:val="17"/>
        <w:tabs>
          <w:tab w:val="right" w:leader="dot" w:pos="8640"/>
        </w:tabs>
      </w:pPr>
      <w:r>
        <w:fldChar w:fldCharType="begin"/>
      </w:r>
      <w:r>
        <w:instrText xml:space="preserve"> HYPERLINK \l "_Toc7838" </w:instrText>
      </w:r>
      <w:r>
        <w:fldChar w:fldCharType="separate"/>
      </w:r>
      <w:r>
        <w:rPr>
          <w:rFonts w:hint="eastAsia" w:ascii="Times New Roman" w:hAnsi="Times New Roman" w:eastAsia="黑体" w:cs="Times New Roman"/>
          <w:bCs/>
        </w:rPr>
        <w:t>第E-1条  检    验</w:t>
      </w:r>
      <w:r>
        <w:tab/>
      </w:r>
      <w:r>
        <w:fldChar w:fldCharType="begin"/>
      </w:r>
      <w:r>
        <w:instrText xml:space="preserve"> PAGEREF _Toc7838 \h </w:instrText>
      </w:r>
      <w:r>
        <w:fldChar w:fldCharType="separate"/>
      </w:r>
      <w:r>
        <w:t>49</w:t>
      </w:r>
      <w:r>
        <w:fldChar w:fldCharType="end"/>
      </w:r>
      <w:r>
        <w:fldChar w:fldCharType="end"/>
      </w:r>
    </w:p>
    <w:p>
      <w:pPr>
        <w:widowControl/>
        <w:jc w:val="left"/>
        <w:rPr>
          <w:rFonts w:ascii="Times New Roman" w:hAnsi="Times New Roman" w:cs="Times New Roman"/>
        </w:rPr>
        <w:sectPr>
          <w:footerReference r:id="rId6" w:type="default"/>
          <w:footerReference r:id="rId7" w:type="even"/>
          <w:footnotePr>
            <w:numFmt w:val="decimalEnclosedCircleChinese"/>
            <w:numRestart w:val="eachPage"/>
          </w:footnotePr>
          <w:pgSz w:w="12240" w:h="15840"/>
          <w:pgMar w:top="1440" w:right="1800" w:bottom="1440" w:left="1800" w:header="720" w:footer="720" w:gutter="0"/>
          <w:pgNumType w:fmt="upperRoman" w:start="1"/>
          <w:cols w:space="425" w:num="1"/>
          <w:docGrid w:type="lines" w:linePitch="312" w:charSpace="0"/>
        </w:sectPr>
      </w:pPr>
      <w:r>
        <w:rPr>
          <w:rFonts w:ascii="Times New Roman" w:hAnsi="Times New Roman" w:eastAsia="宋体" w:cs="Times New Roman"/>
          <w:kern w:val="0"/>
          <w:szCs w:val="20"/>
          <w:lang w:val="zh-CN"/>
        </w:rPr>
        <w:fldChar w:fldCharType="end"/>
      </w:r>
    </w:p>
    <w:p>
      <w:pPr>
        <w:pStyle w:val="35"/>
        <w:outlineLvl w:val="0"/>
        <w:rPr>
          <w:rFonts w:hint="default" w:ascii="Times New Roman" w:hAnsi="Times New Roman" w:cs="Times New Roman"/>
        </w:rPr>
      </w:pPr>
      <w:bookmarkStart w:id="2" w:name="_Toc18578"/>
      <w:r>
        <w:rPr>
          <w:rFonts w:ascii="Times New Roman" w:hAnsi="Times New Roman" w:cs="Times New Roman"/>
        </w:rPr>
        <w:t>说明与要求</w:t>
      </w:r>
      <w:bookmarkEnd w:id="2"/>
    </w:p>
    <w:p>
      <w:pPr>
        <w:widowControl/>
        <w:ind w:firstLine="420" w:firstLineChars="200"/>
        <w:rPr>
          <w:rFonts w:ascii="楷体" w:hAnsi="楷体" w:eastAsia="楷体"/>
          <w:caps/>
          <w:kern w:val="32"/>
          <w:szCs w:val="21"/>
          <w:u w:val="single"/>
        </w:rPr>
      </w:pPr>
      <w:r>
        <w:rPr>
          <w:rFonts w:hint="eastAsia" w:ascii="楷体" w:hAnsi="楷体" w:eastAsia="楷体"/>
          <w:caps/>
          <w:kern w:val="32"/>
          <w:szCs w:val="21"/>
        </w:rPr>
        <w:t>新增1如下：</w:t>
      </w:r>
    </w:p>
    <w:p>
      <w:pPr>
        <w:pStyle w:val="3"/>
        <w:keepLines w:val="0"/>
        <w:widowControl/>
        <w:spacing w:before="240" w:after="60" w:line="274" w:lineRule="auto"/>
        <w:jc w:val="center"/>
        <w:rPr>
          <w:rFonts w:ascii="Times New Roman" w:hAnsi="Times New Roman" w:eastAsia="宋体"/>
          <w:caps/>
          <w:color w:val="FF0000"/>
          <w:kern w:val="32"/>
          <w:sz w:val="28"/>
          <w:szCs w:val="28"/>
          <w:u w:val="single"/>
        </w:rPr>
      </w:pPr>
      <w:bookmarkStart w:id="3" w:name="_Toc16729"/>
      <w:r>
        <w:rPr>
          <w:rFonts w:hint="eastAsia" w:ascii="Times New Roman" w:hAnsi="Times New Roman" w:eastAsia="宋体" w:cstheme="minorBidi"/>
          <w:b w:val="0"/>
          <w:bCs w:val="0"/>
          <w:caps/>
          <w:kern w:val="32"/>
          <w:sz w:val="21"/>
          <w:szCs w:val="21"/>
        </w:rPr>
        <w:t>“</w:t>
      </w:r>
      <w:r>
        <w:rPr>
          <w:rFonts w:ascii="Times New Roman" w:hAnsi="Times New Roman" w:eastAsia="宋体"/>
          <w:b w:val="0"/>
          <w:bCs w:val="0"/>
          <w:caps/>
          <w:color w:val="FF0000"/>
          <w:kern w:val="32"/>
          <w:sz w:val="28"/>
          <w:szCs w:val="28"/>
          <w:u w:val="single"/>
        </w:rPr>
        <w:t xml:space="preserve">1  </w:t>
      </w:r>
      <w:r>
        <w:rPr>
          <w:rFonts w:ascii="宋体" w:hAnsi="宋体" w:eastAsia="宋体"/>
          <w:b w:val="0"/>
          <w:bCs w:val="0"/>
          <w:caps/>
          <w:color w:val="FF0000"/>
          <w:kern w:val="32"/>
          <w:sz w:val="28"/>
          <w:szCs w:val="28"/>
          <w:u w:val="single"/>
        </w:rPr>
        <w:t>适用范围</w:t>
      </w:r>
      <w:bookmarkEnd w:id="3"/>
    </w:p>
    <w:p>
      <w:pPr>
        <w:pStyle w:val="10"/>
        <w:ind w:firstLine="435"/>
        <w:rPr>
          <w:rFonts w:ascii="Times New Roman" w:hAnsi="Times New Roman" w:eastAsia="宋体" w:cs="Times New Roman"/>
        </w:rPr>
      </w:pPr>
      <w:r>
        <w:rPr>
          <w:rFonts w:ascii="Times New Roman" w:hAnsi="Times New Roman" w:cs="Times New Roman"/>
        </w:rPr>
        <w:t xml:space="preserve">1.1  </w:t>
      </w:r>
      <w:r>
        <w:rPr>
          <w:rFonts w:hAnsi="宋体" w:cs="Times New Roman"/>
        </w:rPr>
        <w:t>除另有明文规定外，本篇适用于从事国际航行的所有海船。</w:t>
      </w:r>
    </w:p>
    <w:p>
      <w:pPr>
        <w:pStyle w:val="10"/>
        <w:ind w:firstLine="435"/>
        <w:rPr>
          <w:rFonts w:ascii="Times New Roman" w:hAnsi="Times New Roman" w:cs="Times New Roman"/>
        </w:rPr>
      </w:pPr>
      <w:r>
        <w:rPr>
          <w:rFonts w:ascii="Times New Roman" w:hAnsi="Times New Roman" w:cs="Times New Roman"/>
        </w:rPr>
        <w:t xml:space="preserve">1.2 </w:t>
      </w:r>
      <w:r>
        <w:rPr>
          <w:rFonts w:ascii="Times New Roman" w:hAnsi="Times New Roman"/>
        </w:rPr>
        <w:t xml:space="preserve"> </w:t>
      </w:r>
      <w:r>
        <w:rPr>
          <w:rFonts w:hAnsi="宋体" w:cs="Times New Roman"/>
        </w:rPr>
        <w:t>本篇各章及附录适用的船舶种类与适用范围，在各章及附录中详加规定。</w:t>
      </w:r>
    </w:p>
    <w:p>
      <w:pPr>
        <w:pStyle w:val="10"/>
        <w:ind w:firstLine="435"/>
        <w:rPr>
          <w:rFonts w:hAnsi="宋体" w:cs="Times New Roman"/>
        </w:rPr>
      </w:pPr>
      <w:r>
        <w:rPr>
          <w:rFonts w:ascii="Times New Roman" w:hAnsi="Times New Roman" w:cs="Times New Roman"/>
        </w:rPr>
        <w:t xml:space="preserve">1.3 </w:t>
      </w:r>
      <w:r>
        <w:rPr>
          <w:rFonts w:ascii="Times New Roman" w:hAnsi="Times New Roman"/>
        </w:rPr>
        <w:t xml:space="preserve"> </w:t>
      </w:r>
      <w:r>
        <w:rPr>
          <w:rFonts w:hAnsi="宋体" w:cs="Times New Roman"/>
        </w:rPr>
        <w:t>除另有明文规定外，本篇不适应于下列船舶：</w:t>
      </w:r>
    </w:p>
    <w:p>
      <w:pPr>
        <w:pStyle w:val="10"/>
        <w:ind w:firstLine="435"/>
        <w:rPr>
          <w:rFonts w:hAnsi="宋体" w:cs="Times New Roman"/>
        </w:rPr>
      </w:pPr>
      <w:r>
        <w:rPr>
          <w:rFonts w:hAnsi="宋体" w:cs="Times New Roman"/>
        </w:rPr>
        <w:t>（</w:t>
      </w:r>
      <w:r>
        <w:rPr>
          <w:rFonts w:ascii="Times New Roman" w:hAnsi="Times New Roman" w:cs="Times New Roman"/>
        </w:rPr>
        <w:t>1</w:t>
      </w:r>
      <w:r>
        <w:rPr>
          <w:rFonts w:hAnsi="宋体" w:cs="Times New Roman"/>
        </w:rPr>
        <w:t>）军用舰艇和运兵船；</w:t>
      </w:r>
    </w:p>
    <w:p>
      <w:pPr>
        <w:pStyle w:val="10"/>
        <w:ind w:firstLine="435"/>
        <w:rPr>
          <w:rFonts w:hAnsi="宋体" w:cs="Times New Roman"/>
        </w:rPr>
      </w:pPr>
      <w:r>
        <w:rPr>
          <w:rFonts w:hAnsi="宋体" w:cs="Times New Roman"/>
        </w:rPr>
        <w:t>（</w:t>
      </w:r>
      <w:r>
        <w:rPr>
          <w:rFonts w:hint="eastAsia" w:ascii="Times New Roman" w:hAnsi="Times New Roman" w:cs="Times New Roman"/>
        </w:rPr>
        <w:t>2</w:t>
      </w:r>
      <w:r>
        <w:rPr>
          <w:rFonts w:hAnsi="宋体" w:cs="Times New Roman"/>
        </w:rPr>
        <w:t>）非</w:t>
      </w:r>
      <w:r>
        <w:rPr>
          <w:rFonts w:hint="eastAsia" w:hAnsi="宋体" w:cs="Times New Roman"/>
        </w:rPr>
        <w:t>商业</w:t>
      </w:r>
      <w:r>
        <w:rPr>
          <w:rFonts w:hAnsi="宋体" w:cs="Times New Roman"/>
        </w:rPr>
        <w:t>性的游艇；</w:t>
      </w:r>
    </w:p>
    <w:p>
      <w:pPr>
        <w:pStyle w:val="10"/>
        <w:ind w:firstLine="435"/>
        <w:rPr>
          <w:rFonts w:hAnsi="宋体" w:cs="Times New Roman"/>
        </w:rPr>
      </w:pPr>
      <w:r>
        <w:rPr>
          <w:rFonts w:hAnsi="宋体" w:cs="Times New Roman"/>
        </w:rPr>
        <w:t>（</w:t>
      </w:r>
      <w:r>
        <w:rPr>
          <w:rFonts w:hint="eastAsia" w:ascii="Times New Roman" w:hAnsi="Times New Roman" w:cs="Times New Roman"/>
        </w:rPr>
        <w:t>3</w:t>
      </w:r>
      <w:r>
        <w:rPr>
          <w:rFonts w:hAnsi="宋体" w:cs="Times New Roman"/>
        </w:rPr>
        <w:t>）渔船。</w:t>
      </w:r>
      <w:r>
        <w:rPr>
          <w:rFonts w:hint="eastAsia" w:hAnsi="宋体" w:cs="Times New Roman"/>
        </w:rPr>
        <w:t>”</w:t>
      </w:r>
    </w:p>
    <w:p>
      <w:pPr>
        <w:widowControl/>
        <w:ind w:firstLine="420" w:firstLineChars="200"/>
        <w:rPr>
          <w:rFonts w:ascii="Times New Roman" w:hAnsi="Times New Roman" w:eastAsia="宋体"/>
          <w:caps/>
          <w:kern w:val="32"/>
          <w:szCs w:val="21"/>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原2改为：</w:t>
      </w:r>
    </w:p>
    <w:p>
      <w:pPr>
        <w:pStyle w:val="3"/>
        <w:keepLines w:val="0"/>
        <w:widowControl/>
        <w:spacing w:before="240" w:after="60" w:line="273" w:lineRule="auto"/>
        <w:jc w:val="center"/>
        <w:rPr>
          <w:rFonts w:ascii="Times New Roman" w:hAnsi="Times New Roman" w:eastAsia="宋体"/>
          <w:caps/>
          <w:color w:val="FF0000"/>
          <w:kern w:val="32"/>
          <w:sz w:val="28"/>
          <w:szCs w:val="28"/>
          <w:u w:val="single"/>
        </w:rPr>
      </w:pPr>
      <w:bookmarkStart w:id="4" w:name="_Toc12080"/>
      <w:r>
        <w:rPr>
          <w:rFonts w:hint="eastAsia" w:ascii="Times New Roman" w:hAnsi="Times New Roman" w:eastAsia="宋体" w:cstheme="minorBidi"/>
          <w:b w:val="0"/>
          <w:bCs w:val="0"/>
          <w:caps/>
          <w:kern w:val="32"/>
          <w:sz w:val="21"/>
          <w:szCs w:val="21"/>
        </w:rPr>
        <w:t>“</w:t>
      </w:r>
      <w:r>
        <w:rPr>
          <w:rFonts w:ascii="Times New Roman" w:hAnsi="Times New Roman" w:eastAsia="宋体"/>
          <w:b w:val="0"/>
          <w:bCs w:val="0"/>
          <w:caps/>
          <w:color w:val="FF0000"/>
          <w:kern w:val="32"/>
          <w:sz w:val="28"/>
          <w:szCs w:val="28"/>
          <w:u w:val="single"/>
        </w:rPr>
        <w:t xml:space="preserve">2  </w:t>
      </w:r>
      <w:r>
        <w:rPr>
          <w:rFonts w:ascii="宋体" w:hAnsi="宋体" w:eastAsia="宋体"/>
          <w:b w:val="0"/>
          <w:bCs w:val="0"/>
          <w:caps/>
          <w:color w:val="FF0000"/>
          <w:kern w:val="32"/>
          <w:sz w:val="28"/>
          <w:szCs w:val="28"/>
          <w:u w:val="single"/>
        </w:rPr>
        <w:t>说</w:t>
      </w:r>
      <w:r>
        <w:rPr>
          <w:rFonts w:ascii="Times New Roman" w:hAnsi="Times New Roman" w:eastAsia="宋体"/>
          <w:b w:val="0"/>
          <w:bCs w:val="0"/>
          <w:caps/>
          <w:color w:val="FF0000"/>
          <w:kern w:val="32"/>
          <w:sz w:val="28"/>
          <w:szCs w:val="28"/>
          <w:u w:val="single"/>
        </w:rPr>
        <w:t xml:space="preserve">    </w:t>
      </w:r>
      <w:r>
        <w:rPr>
          <w:rFonts w:ascii="宋体" w:hAnsi="宋体" w:eastAsia="宋体"/>
          <w:b w:val="0"/>
          <w:bCs w:val="0"/>
          <w:caps/>
          <w:color w:val="FF0000"/>
          <w:kern w:val="32"/>
          <w:sz w:val="28"/>
          <w:szCs w:val="28"/>
          <w:u w:val="single"/>
        </w:rPr>
        <w:t>明</w:t>
      </w:r>
      <w:bookmarkEnd w:id="4"/>
    </w:p>
    <w:p>
      <w:pPr>
        <w:pStyle w:val="10"/>
        <w:ind w:firstLine="435"/>
        <w:rPr>
          <w:rFonts w:hAnsi="宋体" w:cs="Times New Roman"/>
          <w:color w:val="FF0000"/>
          <w:u w:val="single"/>
        </w:rPr>
      </w:pPr>
    </w:p>
    <w:p>
      <w:pPr>
        <w:tabs>
          <w:tab w:val="left" w:pos="851"/>
        </w:tabs>
        <w:adjustRightInd w:val="0"/>
        <w:snapToGrid w:val="0"/>
        <w:spacing w:line="360" w:lineRule="auto"/>
        <w:ind w:firstLine="420" w:firstLineChars="200"/>
        <w:rPr>
          <w:rFonts w:ascii="宋体"/>
          <w:strike/>
          <w:color w:val="FF0000"/>
          <w:szCs w:val="21"/>
        </w:rPr>
      </w:pPr>
      <w:r>
        <w:rPr>
          <w:rFonts w:hint="eastAsia" w:ascii="宋体" w:hAnsi="宋体"/>
          <w:color w:val="FF0000"/>
          <w:szCs w:val="21"/>
          <w:u w:val="single"/>
        </w:rPr>
        <w:t>2.</w:t>
      </w:r>
      <w:r>
        <w:rPr>
          <w:rFonts w:ascii="宋体" w:hAnsi="宋体"/>
          <w:szCs w:val="21"/>
        </w:rPr>
        <w:t xml:space="preserve">1   </w:t>
      </w:r>
      <w:r>
        <w:rPr>
          <w:rFonts w:hint="eastAsia" w:ascii="宋体" w:hAnsi="宋体"/>
          <w:szCs w:val="21"/>
        </w:rPr>
        <w:t>本篇第</w:t>
      </w:r>
      <w:r>
        <w:rPr>
          <w:rFonts w:ascii="宋体" w:hAnsi="宋体"/>
          <w:szCs w:val="21"/>
        </w:rPr>
        <w:t>1</w:t>
      </w:r>
      <w:r>
        <w:rPr>
          <w:rFonts w:hint="eastAsia" w:ascii="宋体" w:hAnsi="宋体"/>
          <w:szCs w:val="21"/>
        </w:rPr>
        <w:t>章至第</w:t>
      </w:r>
      <w:r>
        <w:rPr>
          <w:rFonts w:ascii="宋体" w:hAnsi="宋体"/>
          <w:szCs w:val="21"/>
        </w:rPr>
        <w:t>6</w:t>
      </w:r>
      <w:r>
        <w:rPr>
          <w:rFonts w:hint="eastAsia" w:ascii="宋体" w:hAnsi="宋体"/>
          <w:szCs w:val="21"/>
        </w:rPr>
        <w:t>章内容直接引用《经</w:t>
      </w:r>
      <w:r>
        <w:rPr>
          <w:rFonts w:ascii="宋体" w:hAnsi="宋体"/>
          <w:szCs w:val="21"/>
        </w:rPr>
        <w:t>1978</w:t>
      </w:r>
      <w:r>
        <w:rPr>
          <w:rFonts w:hint="eastAsia" w:ascii="宋体" w:hAnsi="宋体"/>
          <w:szCs w:val="21"/>
        </w:rPr>
        <w:t>年议定书修订的</w:t>
      </w:r>
      <w:r>
        <w:rPr>
          <w:rFonts w:ascii="宋体" w:hAnsi="宋体"/>
          <w:szCs w:val="21"/>
        </w:rPr>
        <w:t>1973</w:t>
      </w:r>
      <w:r>
        <w:rPr>
          <w:rFonts w:hint="eastAsia" w:ascii="宋体" w:hAnsi="宋体"/>
          <w:szCs w:val="21"/>
        </w:rPr>
        <w:t>年国际防止船舶造成污染公约》（简称</w:t>
      </w:r>
      <w:r>
        <w:rPr>
          <w:rFonts w:ascii="宋体" w:hAnsi="宋体"/>
          <w:szCs w:val="21"/>
        </w:rPr>
        <w:t>MARPOL</w:t>
      </w:r>
      <w:r>
        <w:rPr>
          <w:rFonts w:hint="eastAsia" w:ascii="宋体" w:hAnsi="宋体"/>
          <w:szCs w:val="21"/>
        </w:rPr>
        <w:t>公约）2017年的综合文本（以下简称MARPOL 2017综合文本）附则Ⅰ至附则VI，及其下列修正案：</w:t>
      </w:r>
      <w:r>
        <w:rPr>
          <w:rFonts w:hint="eastAsia" w:ascii="宋体" w:hAnsi="宋体"/>
          <w:strike/>
          <w:color w:val="FF0000"/>
          <w:szCs w:val="21"/>
        </w:rPr>
        <w:t>的规定，其内容涵盖了《</w:t>
      </w:r>
      <w:r>
        <w:rPr>
          <w:rFonts w:ascii="宋体" w:hAnsi="宋体"/>
          <w:bCs/>
          <w:strike/>
          <w:color w:val="FF0000"/>
          <w:szCs w:val="21"/>
        </w:rPr>
        <w:t>MARPOL</w:t>
      </w:r>
      <w:r>
        <w:rPr>
          <w:rFonts w:hint="eastAsia" w:ascii="宋体" w:hAnsi="宋体"/>
          <w:bCs/>
          <w:strike/>
          <w:color w:val="FF0000"/>
          <w:szCs w:val="21"/>
        </w:rPr>
        <w:t>公约</w:t>
      </w:r>
      <w:r>
        <w:rPr>
          <w:rFonts w:hint="eastAsia" w:ascii="宋体" w:hAnsi="宋体"/>
          <w:strike/>
          <w:color w:val="FF0000"/>
          <w:szCs w:val="21"/>
        </w:rPr>
        <w:t>》</w:t>
      </w:r>
      <w:r>
        <w:rPr>
          <w:rFonts w:ascii="宋体" w:hAnsi="宋体"/>
          <w:strike/>
          <w:color w:val="FF0000"/>
          <w:szCs w:val="21"/>
        </w:rPr>
        <w:t>6</w:t>
      </w:r>
      <w:r>
        <w:rPr>
          <w:rFonts w:hint="eastAsia" w:ascii="宋体" w:hAnsi="宋体"/>
          <w:strike/>
          <w:color w:val="FF0000"/>
          <w:szCs w:val="21"/>
        </w:rPr>
        <w:t>个附则的内容，本篇各章对应</w:t>
      </w:r>
      <w:r>
        <w:rPr>
          <w:rFonts w:ascii="宋体" w:hAnsi="宋体"/>
          <w:bCs/>
          <w:strike/>
          <w:color w:val="FF0000"/>
          <w:szCs w:val="21"/>
        </w:rPr>
        <w:t>MARPOL</w:t>
      </w:r>
      <w:r>
        <w:rPr>
          <w:rFonts w:hint="eastAsia" w:ascii="宋体" w:hAnsi="宋体"/>
          <w:bCs/>
          <w:strike/>
          <w:color w:val="FF0000"/>
          <w:szCs w:val="21"/>
        </w:rPr>
        <w:t>公约</w:t>
      </w:r>
      <w:r>
        <w:rPr>
          <w:rFonts w:hint="eastAsia" w:ascii="宋体" w:hAnsi="宋体"/>
          <w:strike/>
          <w:color w:val="FF0000"/>
          <w:szCs w:val="21"/>
        </w:rPr>
        <w:t>的附则如下：</w:t>
      </w:r>
    </w:p>
    <w:p>
      <w:pPr>
        <w:tabs>
          <w:tab w:val="left" w:pos="851"/>
        </w:tabs>
        <w:adjustRightInd w:val="0"/>
        <w:snapToGrid w:val="0"/>
        <w:spacing w:line="360" w:lineRule="auto"/>
        <w:ind w:firstLine="420" w:firstLineChars="200"/>
        <w:rPr>
          <w:rFonts w:ascii="宋体"/>
          <w:strike/>
          <w:color w:val="FF0000"/>
          <w:szCs w:val="21"/>
        </w:rPr>
      </w:pPr>
      <w:r>
        <w:rPr>
          <w:rFonts w:hint="eastAsia" w:ascii="宋体" w:hAnsi="宋体"/>
          <w:bCs/>
          <w:strike/>
          <w:color w:val="FF0000"/>
          <w:szCs w:val="21"/>
        </w:rPr>
        <w:t>第</w:t>
      </w:r>
      <w:r>
        <w:rPr>
          <w:rFonts w:ascii="宋体" w:hAnsi="宋体"/>
          <w:bCs/>
          <w:strike/>
          <w:color w:val="FF0000"/>
          <w:szCs w:val="21"/>
        </w:rPr>
        <w:t>1</w:t>
      </w:r>
      <w:r>
        <w:rPr>
          <w:rFonts w:hint="eastAsia" w:ascii="宋体" w:hAnsi="宋体"/>
          <w:bCs/>
          <w:strike/>
          <w:color w:val="FF0000"/>
          <w:szCs w:val="21"/>
        </w:rPr>
        <w:t>章</w:t>
      </w:r>
      <w:r>
        <w:rPr>
          <w:rFonts w:ascii="宋体" w:hAnsi="宋体"/>
          <w:bCs/>
          <w:strike/>
          <w:color w:val="FF0000"/>
          <w:szCs w:val="21"/>
        </w:rPr>
        <w:t xml:space="preserve">    MARPOL</w:t>
      </w:r>
      <w:r>
        <w:rPr>
          <w:rFonts w:hint="eastAsia" w:ascii="宋体" w:hAnsi="宋体"/>
          <w:bCs/>
          <w:strike/>
          <w:color w:val="FF0000"/>
          <w:szCs w:val="21"/>
        </w:rPr>
        <w:t>公约附则Ⅰ</w:t>
      </w:r>
    </w:p>
    <w:p>
      <w:pPr>
        <w:tabs>
          <w:tab w:val="left" w:pos="851"/>
        </w:tabs>
        <w:adjustRightInd w:val="0"/>
        <w:snapToGrid w:val="0"/>
        <w:spacing w:line="360" w:lineRule="auto"/>
        <w:ind w:firstLine="420" w:firstLineChars="200"/>
        <w:rPr>
          <w:rFonts w:ascii="宋体"/>
          <w:strike/>
          <w:color w:val="FF0000"/>
          <w:szCs w:val="21"/>
        </w:rPr>
      </w:pPr>
      <w:r>
        <w:rPr>
          <w:rFonts w:hint="eastAsia" w:ascii="宋体" w:hAnsi="宋体"/>
          <w:bCs/>
          <w:strike/>
          <w:color w:val="FF0000"/>
          <w:szCs w:val="21"/>
        </w:rPr>
        <w:t>第</w:t>
      </w:r>
      <w:r>
        <w:rPr>
          <w:rFonts w:ascii="宋体" w:hAnsi="宋体"/>
          <w:bCs/>
          <w:strike/>
          <w:color w:val="FF0000"/>
          <w:szCs w:val="21"/>
        </w:rPr>
        <w:t>2</w:t>
      </w:r>
      <w:r>
        <w:rPr>
          <w:rFonts w:hint="eastAsia" w:ascii="宋体" w:hAnsi="宋体"/>
          <w:bCs/>
          <w:strike/>
          <w:color w:val="FF0000"/>
          <w:szCs w:val="21"/>
        </w:rPr>
        <w:t>章</w:t>
      </w:r>
      <w:r>
        <w:rPr>
          <w:rFonts w:ascii="宋体" w:hAnsi="宋体"/>
          <w:bCs/>
          <w:strike/>
          <w:color w:val="FF0000"/>
          <w:szCs w:val="21"/>
        </w:rPr>
        <w:t xml:space="preserve">    MARPOL</w:t>
      </w:r>
      <w:r>
        <w:rPr>
          <w:rFonts w:hint="eastAsia" w:ascii="宋体" w:hAnsi="宋体"/>
          <w:bCs/>
          <w:strike/>
          <w:color w:val="FF0000"/>
          <w:szCs w:val="21"/>
        </w:rPr>
        <w:t>公约附则Ⅱ</w:t>
      </w:r>
    </w:p>
    <w:p>
      <w:pPr>
        <w:tabs>
          <w:tab w:val="left" w:pos="851"/>
        </w:tabs>
        <w:adjustRightInd w:val="0"/>
        <w:snapToGrid w:val="0"/>
        <w:spacing w:line="360" w:lineRule="auto"/>
        <w:ind w:firstLine="420" w:firstLineChars="200"/>
        <w:rPr>
          <w:rFonts w:ascii="宋体"/>
          <w:strike/>
          <w:color w:val="FF0000"/>
          <w:szCs w:val="21"/>
        </w:rPr>
      </w:pPr>
      <w:r>
        <w:rPr>
          <w:rFonts w:hint="eastAsia" w:ascii="宋体" w:hAnsi="宋体"/>
          <w:bCs/>
          <w:strike/>
          <w:color w:val="FF0000"/>
          <w:szCs w:val="21"/>
        </w:rPr>
        <w:t>第</w:t>
      </w:r>
      <w:r>
        <w:rPr>
          <w:rFonts w:ascii="宋体" w:hAnsi="宋体"/>
          <w:bCs/>
          <w:strike/>
          <w:color w:val="FF0000"/>
          <w:szCs w:val="21"/>
        </w:rPr>
        <w:t>3</w:t>
      </w:r>
      <w:r>
        <w:rPr>
          <w:rFonts w:hint="eastAsia" w:ascii="宋体" w:hAnsi="宋体"/>
          <w:bCs/>
          <w:strike/>
          <w:color w:val="FF0000"/>
          <w:szCs w:val="21"/>
        </w:rPr>
        <w:t>章</w:t>
      </w:r>
      <w:r>
        <w:rPr>
          <w:rFonts w:ascii="宋体" w:hAnsi="宋体"/>
          <w:bCs/>
          <w:strike/>
          <w:color w:val="FF0000"/>
          <w:szCs w:val="21"/>
        </w:rPr>
        <w:t xml:space="preserve">    MARPOL</w:t>
      </w:r>
      <w:r>
        <w:rPr>
          <w:rFonts w:hint="eastAsia" w:ascii="宋体" w:hAnsi="宋体"/>
          <w:bCs/>
          <w:strike/>
          <w:color w:val="FF0000"/>
          <w:szCs w:val="21"/>
        </w:rPr>
        <w:t>公约附则Ⅲ</w:t>
      </w:r>
    </w:p>
    <w:p>
      <w:pPr>
        <w:tabs>
          <w:tab w:val="left" w:pos="851"/>
        </w:tabs>
        <w:adjustRightInd w:val="0"/>
        <w:snapToGrid w:val="0"/>
        <w:spacing w:line="360" w:lineRule="auto"/>
        <w:ind w:firstLine="420" w:firstLineChars="200"/>
        <w:rPr>
          <w:rFonts w:ascii="宋体"/>
          <w:strike/>
          <w:color w:val="FF0000"/>
          <w:szCs w:val="21"/>
        </w:rPr>
      </w:pPr>
      <w:r>
        <w:rPr>
          <w:rFonts w:hint="eastAsia" w:ascii="宋体" w:hAnsi="宋体"/>
          <w:bCs/>
          <w:strike/>
          <w:color w:val="FF0000"/>
          <w:szCs w:val="21"/>
        </w:rPr>
        <w:t>第</w:t>
      </w:r>
      <w:r>
        <w:rPr>
          <w:rFonts w:ascii="宋体" w:hAnsi="宋体"/>
          <w:bCs/>
          <w:strike/>
          <w:color w:val="FF0000"/>
          <w:szCs w:val="21"/>
        </w:rPr>
        <w:t>4</w:t>
      </w:r>
      <w:r>
        <w:rPr>
          <w:rFonts w:hint="eastAsia" w:ascii="宋体" w:hAnsi="宋体"/>
          <w:bCs/>
          <w:strike/>
          <w:color w:val="FF0000"/>
          <w:szCs w:val="21"/>
        </w:rPr>
        <w:t>章</w:t>
      </w:r>
      <w:r>
        <w:rPr>
          <w:rFonts w:ascii="宋体" w:hAnsi="宋体"/>
          <w:bCs/>
          <w:strike/>
          <w:color w:val="FF0000"/>
          <w:szCs w:val="21"/>
        </w:rPr>
        <w:t xml:space="preserve">    MARPOL</w:t>
      </w:r>
      <w:r>
        <w:rPr>
          <w:rFonts w:hint="eastAsia" w:ascii="宋体" w:hAnsi="宋体"/>
          <w:bCs/>
          <w:strike/>
          <w:color w:val="FF0000"/>
          <w:szCs w:val="21"/>
        </w:rPr>
        <w:t>公约附则Ⅳ</w:t>
      </w:r>
    </w:p>
    <w:p>
      <w:pPr>
        <w:tabs>
          <w:tab w:val="left" w:pos="851"/>
        </w:tabs>
        <w:adjustRightInd w:val="0"/>
        <w:snapToGrid w:val="0"/>
        <w:spacing w:line="360" w:lineRule="auto"/>
        <w:ind w:firstLine="420" w:firstLineChars="200"/>
        <w:rPr>
          <w:rFonts w:ascii="宋体"/>
          <w:strike/>
          <w:color w:val="FF0000"/>
          <w:szCs w:val="21"/>
        </w:rPr>
      </w:pPr>
      <w:r>
        <w:rPr>
          <w:rFonts w:hint="eastAsia" w:ascii="宋体" w:hAnsi="宋体"/>
          <w:bCs/>
          <w:strike/>
          <w:color w:val="FF0000"/>
          <w:szCs w:val="21"/>
        </w:rPr>
        <w:t>第</w:t>
      </w:r>
      <w:r>
        <w:rPr>
          <w:rFonts w:ascii="宋体" w:hAnsi="宋体"/>
          <w:bCs/>
          <w:strike/>
          <w:color w:val="FF0000"/>
          <w:szCs w:val="21"/>
        </w:rPr>
        <w:t>5</w:t>
      </w:r>
      <w:r>
        <w:rPr>
          <w:rFonts w:hint="eastAsia" w:ascii="宋体" w:hAnsi="宋体"/>
          <w:bCs/>
          <w:strike/>
          <w:color w:val="FF0000"/>
          <w:szCs w:val="21"/>
        </w:rPr>
        <w:t>章</w:t>
      </w:r>
      <w:r>
        <w:rPr>
          <w:rFonts w:ascii="宋体" w:hAnsi="宋体"/>
          <w:bCs/>
          <w:strike/>
          <w:color w:val="FF0000"/>
          <w:szCs w:val="21"/>
        </w:rPr>
        <w:t xml:space="preserve">    MARPOL</w:t>
      </w:r>
      <w:r>
        <w:rPr>
          <w:rFonts w:hint="eastAsia" w:ascii="宋体" w:hAnsi="宋体"/>
          <w:bCs/>
          <w:strike/>
          <w:color w:val="FF0000"/>
          <w:szCs w:val="21"/>
        </w:rPr>
        <w:t>公约附则Ⅴ</w:t>
      </w:r>
    </w:p>
    <w:p>
      <w:pPr>
        <w:tabs>
          <w:tab w:val="left" w:pos="851"/>
        </w:tabs>
        <w:adjustRightInd w:val="0"/>
        <w:snapToGrid w:val="0"/>
        <w:spacing w:line="360" w:lineRule="auto"/>
        <w:ind w:firstLine="420" w:firstLineChars="200"/>
        <w:rPr>
          <w:rFonts w:ascii="宋体" w:hAnsi="宋体"/>
          <w:bCs/>
          <w:szCs w:val="21"/>
        </w:rPr>
      </w:pPr>
      <w:r>
        <w:rPr>
          <w:rFonts w:hint="eastAsia" w:ascii="宋体" w:hAnsi="宋体"/>
          <w:bCs/>
          <w:strike/>
          <w:color w:val="FF0000"/>
          <w:szCs w:val="21"/>
        </w:rPr>
        <w:t>第</w:t>
      </w:r>
      <w:r>
        <w:rPr>
          <w:rFonts w:ascii="宋体" w:hAnsi="宋体"/>
          <w:bCs/>
          <w:strike/>
          <w:color w:val="FF0000"/>
          <w:szCs w:val="21"/>
        </w:rPr>
        <w:t>6</w:t>
      </w:r>
      <w:r>
        <w:rPr>
          <w:rFonts w:hint="eastAsia" w:ascii="宋体" w:hAnsi="宋体"/>
          <w:bCs/>
          <w:strike/>
          <w:color w:val="FF0000"/>
          <w:szCs w:val="21"/>
        </w:rPr>
        <w:t>章</w:t>
      </w:r>
      <w:r>
        <w:rPr>
          <w:rFonts w:ascii="宋体" w:hAnsi="宋体"/>
          <w:bCs/>
          <w:strike/>
          <w:color w:val="FF0000"/>
          <w:szCs w:val="21"/>
        </w:rPr>
        <w:t xml:space="preserve">    MARPOL</w:t>
      </w:r>
      <w:r>
        <w:rPr>
          <w:rFonts w:hint="eastAsia" w:ascii="宋体" w:hAnsi="宋体"/>
          <w:bCs/>
          <w:strike/>
          <w:color w:val="FF0000"/>
          <w:szCs w:val="21"/>
        </w:rPr>
        <w:t>公约附则Ⅵ</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（1）2016年4月22日第69届海洋环境保护委员会以MEPC.270(69) 决议通过的关于经修订的GESAMP风险评估程序的MARPOL附则II修正案，其生效日期为2017年9月1日。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（2）2016年4月22日第69届海洋环境保护委员会以MEPC.271(69) 决议通过的关于满足NOx Tier III排放控制区的操作要记录的MARPOL附则VI第13条修正案，其生效日期为2017年9月1日。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（3）2016年4月22日第69届海洋环境保护委员会以MEPC.274(69) 决议通过的关于波罗的海特殊区域的第1和第11条修正案和ISPP证书修正案的MARPOL附则IV修正案，其生效日期为2017年9月1日。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（4）2016年10月28日第70届海洋环境保护委员会以MEPC.276(70) 决议通过的关于IOPP证书格式B的MARPOL附则I修正案，其生效日期为2018年3月1日。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（5）2016年10月28日第70届海洋环境保护委员会以MEPC.277(70) 决议通过的关于对海洋环境有害物质（HME）和垃圾记录簿的MARPOL附则V修正案，其生效日期为2018年3月1日。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（6）2016年10月28日第70届海洋环境保护委员会以MEPC.278(70) 决议通过的关于燃油数据收集系统的MARPOL附则VI修正案，其生效日期为2018年3月1日。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（7）2017年7月7日第71届海洋环境保护委员会以MEPC.286(71) 决议通过的关于将波罗的海和北海指定为NOx排放控制区，燃油交付单所包含的信息的MARPOL附则VI修正案，其生效日期为2019年1月1日。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（8）2018年4月13日第72届海洋环境保护委员会以MEPC.301(72) 决议通过的关于排放控制区以及滚装货船和客滚船要求达到的EEDI的MARPOL附则VI修正案，其生效日期为2019年9月1日。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（9）2018年10月26日第73届海洋环境保护委员会以MEPC.305 (73) 决议通过的关于禁止船上携带用于推进和操作的非符合性燃油的MARPOL附则VI修正案，其生效日期为2020年3月1日。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（10）2019年5月17日第74届海洋环境保护委员会以MEPC.314(74) 决议通过的关于电子记录簿的MARPOL附则I、II 和 V修正案，其生效日期为2020年10月1日。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（11）2019年5月17日第74届海洋环境保护委员会以MEPC.315(74) 决议通过的关于持续漂浮物的残余物及洗舱水的MARPOL附则II修正案，其生效日期为2021年1月1日。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（12）2019年5月17日第74届海洋环境保护委员会以MEPC.316(74) 决议通过的关于电子记录簿和冰区加强船舶EEDI的MARPOL附则VI修正案，其生效日期为2020年10月1日。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（13）2020年11月20日第75届海洋环境保护委员会以MEPC.324(75) 决议通过的关于燃油硫含量取样验证和EEDI的MARPOL附则V I修正案，其生效日期为2022年4月1日。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（14）2021年6月17日第76届海洋环境保护委员会以MEPC.328(76) 决议通过的关于减少国际航运碳强度的强制目标型技术和营运措施以及免除UNSP检验发证要求的MARPOL附则VI修正案，其生效日期为2022年11月1日。</w:t>
      </w:r>
    </w:p>
    <w:p>
      <w:pPr>
        <w:ind w:firstLine="435"/>
        <w:rPr>
          <w:rFonts w:ascii="Times New Roman" w:hAnsi="Times New Roman" w:cs="Times New Roman"/>
          <w:color w:val="FF0000"/>
          <w:u w:val="single"/>
        </w:rPr>
      </w:pPr>
      <w:r>
        <w:rPr>
          <w:rFonts w:hint="eastAsia" w:ascii="Times New Roman" w:hAnsi="Times New Roman" w:cs="Times New Roman"/>
          <w:color w:val="FF0000"/>
          <w:u w:val="single"/>
        </w:rPr>
        <w:t>（15）2021年6月17日第76届海洋环境保护委员会以MEPC.329(76) 决议通过的关于禁止船舶在北极水域使用重燃料油和载运重燃料油用作燃料的MARPOL附则I修正案，其生效日期为2022年11月1日。</w:t>
      </w:r>
    </w:p>
    <w:p>
      <w:pPr>
        <w:tabs>
          <w:tab w:val="left" w:pos="851"/>
        </w:tabs>
        <w:adjustRightInd w:val="0"/>
        <w:snapToGrid w:val="0"/>
        <w:spacing w:line="360" w:lineRule="auto"/>
        <w:ind w:firstLine="420" w:firstLineChars="200"/>
        <w:rPr>
          <w:rFonts w:ascii="Times New Roman" w:hAnsi="Times New Roman" w:cs="Times New Roman"/>
          <w:color w:val="FF0000"/>
          <w:u w:val="single"/>
        </w:rPr>
      </w:pPr>
      <w:r>
        <w:rPr>
          <w:rFonts w:hint="eastAsia" w:ascii="Times New Roman" w:hAnsi="Times New Roman" w:cs="Times New Roman"/>
          <w:color w:val="FF0000"/>
          <w:u w:val="single"/>
        </w:rPr>
        <w:t xml:space="preserve">（16）2021年6月17日第76届海洋环境保护委员会以MEPC.330(76) 决议通过的关于免除UNSP驳船检验发证要求的MARPOL附则I和IV修正案，其生效日期为2022年11月1日。 </w:t>
      </w:r>
    </w:p>
    <w:p>
      <w:pPr>
        <w:tabs>
          <w:tab w:val="left" w:pos="851"/>
        </w:tabs>
        <w:adjustRightInd w:val="0"/>
        <w:snapToGrid w:val="0"/>
        <w:spacing w:line="360" w:lineRule="auto"/>
        <w:ind w:firstLine="420" w:firstLineChars="200"/>
        <w:rPr>
          <w:rFonts w:hAnsi="宋体"/>
          <w:strike/>
          <w:color w:val="FF0000"/>
        </w:rPr>
      </w:pPr>
      <w:r>
        <w:rPr>
          <w:rFonts w:hint="eastAsia" w:ascii="宋体" w:hAnsi="宋体"/>
          <w:strike/>
          <w:color w:val="FF0000"/>
          <w:szCs w:val="21"/>
        </w:rPr>
        <w:t>上述各章完全引用了</w:t>
      </w:r>
      <w:r>
        <w:rPr>
          <w:rFonts w:ascii="宋体" w:hAnsi="宋体"/>
          <w:strike/>
          <w:color w:val="FF0000"/>
          <w:szCs w:val="21"/>
        </w:rPr>
        <w:t xml:space="preserve">MARPOL公约相应附则的正文，包括了直至2020年3月1日生效的各项修正案（截止MEPC73次会议）。 </w:t>
      </w:r>
    </w:p>
    <w:p>
      <w:pPr>
        <w:tabs>
          <w:tab w:val="left" w:pos="851"/>
        </w:tabs>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2 </w:t>
      </w:r>
      <w:r>
        <w:rPr>
          <w:rFonts w:hint="eastAsia" w:ascii="宋体" w:hAnsi="宋体"/>
          <w:szCs w:val="21"/>
        </w:rPr>
        <w:t xml:space="preserve">  在本篇第</w:t>
      </w:r>
      <w:r>
        <w:rPr>
          <w:rFonts w:ascii="宋体" w:hAnsi="宋体"/>
          <w:szCs w:val="21"/>
        </w:rPr>
        <w:t>1</w:t>
      </w:r>
      <w:r>
        <w:rPr>
          <w:rFonts w:hint="eastAsia" w:ascii="宋体" w:hAnsi="宋体"/>
          <w:szCs w:val="21"/>
        </w:rPr>
        <w:t>章和第</w:t>
      </w:r>
      <w:r>
        <w:rPr>
          <w:rFonts w:ascii="宋体" w:hAnsi="宋体"/>
          <w:szCs w:val="21"/>
        </w:rPr>
        <w:t>5</w:t>
      </w:r>
      <w:r>
        <w:rPr>
          <w:rFonts w:hint="eastAsia" w:ascii="宋体" w:hAnsi="宋体"/>
          <w:szCs w:val="21"/>
        </w:rPr>
        <w:t>章中，还纳入了</w:t>
      </w:r>
      <w:r>
        <w:rPr>
          <w:rFonts w:ascii="宋体" w:hAnsi="宋体"/>
          <w:szCs w:val="21"/>
        </w:rPr>
        <w:t>GB 3552-2018</w:t>
      </w:r>
      <w:r>
        <w:rPr>
          <w:rFonts w:hint="eastAsia" w:ascii="宋体" w:hAnsi="宋体"/>
          <w:szCs w:val="21"/>
        </w:rPr>
        <w:t>《船舶水污染物排放控制标准》适用于中国籍国际航行船舶的相关要求。</w:t>
      </w:r>
    </w:p>
    <w:p>
      <w:pPr>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3 </w:t>
      </w:r>
      <w:r>
        <w:rPr>
          <w:rFonts w:hint="eastAsia" w:ascii="宋体" w:hAnsi="宋体"/>
          <w:szCs w:val="21"/>
        </w:rPr>
        <w:t xml:space="preserve">  在本篇第</w:t>
      </w:r>
      <w:r>
        <w:rPr>
          <w:rFonts w:ascii="宋体" w:hAnsi="宋体"/>
          <w:szCs w:val="21"/>
        </w:rPr>
        <w:t>6</w:t>
      </w:r>
      <w:r>
        <w:rPr>
          <w:rFonts w:hint="eastAsia" w:ascii="宋体" w:hAnsi="宋体"/>
          <w:szCs w:val="21"/>
        </w:rPr>
        <w:t>章中，还纳入了《交通运输部关于印发船舶大气污染物排放控制区实施方案的通知》（交海发〔</w:t>
      </w:r>
      <w:r>
        <w:rPr>
          <w:rFonts w:ascii="宋体" w:hAnsi="宋体"/>
          <w:szCs w:val="21"/>
        </w:rPr>
        <w:t>2018</w:t>
      </w:r>
      <w:r>
        <w:rPr>
          <w:rFonts w:hint="eastAsia" w:ascii="宋体" w:hAnsi="宋体"/>
          <w:szCs w:val="21"/>
        </w:rPr>
        <w:t>〕</w:t>
      </w:r>
      <w:r>
        <w:rPr>
          <w:rFonts w:ascii="宋体" w:hAnsi="宋体"/>
          <w:szCs w:val="21"/>
        </w:rPr>
        <w:t xml:space="preserve">168 </w:t>
      </w:r>
      <w:r>
        <w:rPr>
          <w:rFonts w:hint="eastAsia" w:ascii="宋体" w:hAnsi="宋体"/>
          <w:szCs w:val="21"/>
        </w:rPr>
        <w:t>号）适用于中国籍国际航行船舶的相关要求。</w:t>
      </w:r>
    </w:p>
    <w:p>
      <w:pPr>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4 </w:t>
      </w:r>
      <w:r>
        <w:rPr>
          <w:rFonts w:hint="eastAsia" w:ascii="宋体" w:hAnsi="宋体"/>
          <w:szCs w:val="21"/>
        </w:rPr>
        <w:t xml:space="preserve">  在实施第</w:t>
      </w:r>
      <w:r>
        <w:rPr>
          <w:rFonts w:ascii="宋体" w:hAnsi="宋体"/>
          <w:szCs w:val="21"/>
        </w:rPr>
        <w:t>6</w:t>
      </w:r>
      <w:r>
        <w:rPr>
          <w:rFonts w:hint="eastAsia" w:ascii="宋体" w:hAnsi="宋体"/>
          <w:szCs w:val="21"/>
        </w:rPr>
        <w:t>章船舶能耗数据收集要求时，还应执行《中华人民共和国海事局关于印发《船舶能耗数据收集管理办法》的通知》（海危防〔</w:t>
      </w:r>
      <w:r>
        <w:rPr>
          <w:rFonts w:ascii="宋体" w:hAnsi="宋体"/>
          <w:szCs w:val="21"/>
        </w:rPr>
        <w:t>2018</w:t>
      </w:r>
      <w:r>
        <w:rPr>
          <w:rFonts w:hint="eastAsia" w:ascii="宋体" w:hAnsi="宋体"/>
          <w:szCs w:val="21"/>
        </w:rPr>
        <w:t>〕</w:t>
      </w:r>
      <w:r>
        <w:rPr>
          <w:rFonts w:ascii="宋体" w:hAnsi="宋体"/>
          <w:szCs w:val="21"/>
        </w:rPr>
        <w:t>476</w:t>
      </w:r>
      <w:r>
        <w:rPr>
          <w:rFonts w:hint="eastAsia" w:ascii="宋体" w:hAnsi="宋体"/>
          <w:szCs w:val="21"/>
        </w:rPr>
        <w:t>号）适用于中国籍国际航行船舶的相关要求。</w:t>
      </w:r>
    </w:p>
    <w:p>
      <w:pPr>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5 </w:t>
      </w:r>
      <w:r>
        <w:rPr>
          <w:rFonts w:hint="eastAsia" w:ascii="宋体" w:hAnsi="宋体"/>
          <w:szCs w:val="21"/>
        </w:rPr>
        <w:t xml:space="preserve">  本篇第</w:t>
      </w:r>
      <w:r>
        <w:rPr>
          <w:rFonts w:ascii="宋体" w:hAnsi="宋体"/>
          <w:szCs w:val="21"/>
        </w:rPr>
        <w:t>7</w:t>
      </w:r>
      <w:r>
        <w:rPr>
          <w:rFonts w:hint="eastAsia" w:ascii="宋体" w:hAnsi="宋体"/>
          <w:szCs w:val="21"/>
        </w:rPr>
        <w:t>章</w:t>
      </w:r>
      <w:r>
        <w:rPr>
          <w:rFonts w:hint="eastAsia" w:ascii="宋体" w:hAnsi="宋体"/>
          <w:color w:val="FF0000"/>
          <w:szCs w:val="21"/>
          <w:u w:val="single"/>
        </w:rPr>
        <w:t>内容引用</w:t>
      </w:r>
      <w:r>
        <w:rPr>
          <w:rFonts w:hint="eastAsia" w:ascii="宋体" w:hAnsi="宋体"/>
          <w:strike/>
          <w:szCs w:val="21"/>
          <w:u w:val="single"/>
        </w:rPr>
        <w:t>是执行</w:t>
      </w:r>
      <w:r>
        <w:rPr>
          <w:rFonts w:hint="eastAsia" w:ascii="宋体" w:hAnsi="宋体"/>
          <w:szCs w:val="21"/>
        </w:rPr>
        <w:t>《</w:t>
      </w:r>
      <w:r>
        <w:rPr>
          <w:rFonts w:ascii="宋体" w:hAnsi="宋体"/>
          <w:szCs w:val="21"/>
        </w:rPr>
        <w:t>2001</w:t>
      </w:r>
      <w:r>
        <w:rPr>
          <w:rFonts w:hint="eastAsia" w:ascii="宋体" w:hAnsi="宋体"/>
          <w:szCs w:val="21"/>
        </w:rPr>
        <w:t>年国际控制船舶有害防污底系统公约》（简称</w:t>
      </w:r>
      <w:r>
        <w:rPr>
          <w:rFonts w:ascii="宋体" w:hAnsi="宋体"/>
          <w:szCs w:val="21"/>
        </w:rPr>
        <w:t>AFS</w:t>
      </w:r>
      <w:r>
        <w:rPr>
          <w:rFonts w:hint="eastAsia" w:ascii="宋体" w:hAnsi="宋体"/>
          <w:szCs w:val="21"/>
        </w:rPr>
        <w:t>公约）</w:t>
      </w:r>
      <w:r>
        <w:rPr>
          <w:rFonts w:hint="eastAsia" w:ascii="宋体" w:hAnsi="宋体"/>
          <w:strike/>
          <w:color w:val="FF0000"/>
          <w:szCs w:val="21"/>
        </w:rPr>
        <w:t>的规定，其内容涵盖了AFS公约</w:t>
      </w:r>
      <w:r>
        <w:rPr>
          <w:rFonts w:hint="eastAsia" w:ascii="宋体" w:hAnsi="宋体"/>
          <w:szCs w:val="21"/>
        </w:rPr>
        <w:t>及其附则</w:t>
      </w:r>
      <w:r>
        <w:rPr>
          <w:rFonts w:ascii="宋体" w:hAnsi="宋体"/>
          <w:szCs w:val="21"/>
        </w:rPr>
        <w:t>1</w:t>
      </w:r>
      <w:r>
        <w:rPr>
          <w:rFonts w:hint="eastAsia" w:ascii="宋体" w:hAnsi="宋体"/>
          <w:szCs w:val="21"/>
        </w:rPr>
        <w:t>和附则</w:t>
      </w:r>
      <w:r>
        <w:rPr>
          <w:rFonts w:ascii="宋体" w:hAnsi="宋体"/>
          <w:szCs w:val="21"/>
        </w:rPr>
        <w:t>4</w:t>
      </w:r>
      <w:r>
        <w:rPr>
          <w:rFonts w:hint="eastAsia" w:ascii="宋体" w:hAnsi="宋体"/>
          <w:strike/>
          <w:color w:val="FF0000"/>
          <w:szCs w:val="21"/>
        </w:rPr>
        <w:t>的相关内容</w:t>
      </w:r>
      <w:r>
        <w:rPr>
          <w:rFonts w:hint="eastAsia" w:ascii="宋体" w:hAnsi="宋体"/>
          <w:szCs w:val="21"/>
        </w:rPr>
        <w:t>，</w:t>
      </w:r>
      <w:r>
        <w:rPr>
          <w:rFonts w:hint="eastAsia" w:ascii="宋体" w:hAnsi="宋体"/>
          <w:color w:val="FF0000"/>
          <w:szCs w:val="21"/>
          <w:u w:val="single"/>
        </w:rPr>
        <w:t>及其下述修正案，</w:t>
      </w:r>
      <w:r>
        <w:rPr>
          <w:rFonts w:hint="eastAsia" w:ascii="宋体" w:hAnsi="宋体"/>
          <w:szCs w:val="21"/>
        </w:rPr>
        <w:t>在文字编辑上稍作调整：</w:t>
      </w:r>
    </w:p>
    <w:p>
      <w:pPr>
        <w:autoSpaceDE w:val="0"/>
        <w:autoSpaceDN w:val="0"/>
        <w:adjustRightInd w:val="0"/>
        <w:spacing w:line="360" w:lineRule="exact"/>
        <w:ind w:firstLine="420" w:firstLineChars="200"/>
        <w:jc w:val="left"/>
        <w:rPr>
          <w:rFonts w:ascii="宋体" w:hAnsi="宋体"/>
          <w:color w:val="FF0000"/>
          <w:szCs w:val="21"/>
          <w:u w:val="single"/>
        </w:rPr>
      </w:pPr>
      <w:r>
        <w:rPr>
          <w:rFonts w:hint="eastAsia" w:ascii="宋体" w:hAnsi="宋体"/>
          <w:color w:val="FF0000"/>
          <w:szCs w:val="21"/>
          <w:u w:val="single"/>
        </w:rPr>
        <w:t>（1）2021年6月17日第76届海洋环境保护委员会以MEPC.331（76） 决议通过的关于Cybutryne物质控制和IAFSC格式的AFS公约修正案，其生效日期为2023年1月1日。</w:t>
      </w:r>
    </w:p>
    <w:p>
      <w:pPr>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6 </w:t>
      </w:r>
      <w:r>
        <w:rPr>
          <w:rFonts w:hint="eastAsia" w:ascii="宋体" w:hAnsi="宋体"/>
          <w:szCs w:val="21"/>
        </w:rPr>
        <w:t xml:space="preserve">  本篇第</w:t>
      </w:r>
      <w:r>
        <w:rPr>
          <w:rFonts w:ascii="宋体" w:hAnsi="宋体"/>
          <w:szCs w:val="21"/>
        </w:rPr>
        <w:t>8</w:t>
      </w:r>
      <w:r>
        <w:rPr>
          <w:rFonts w:hint="eastAsia" w:ascii="宋体" w:hAnsi="宋体"/>
          <w:szCs w:val="21"/>
        </w:rPr>
        <w:t>章</w:t>
      </w:r>
      <w:r>
        <w:rPr>
          <w:rFonts w:hint="eastAsia" w:ascii="宋体" w:hAnsi="宋体"/>
          <w:color w:val="FF0000"/>
          <w:szCs w:val="21"/>
          <w:u w:val="single"/>
        </w:rPr>
        <w:t>内容引用</w:t>
      </w:r>
      <w:r>
        <w:rPr>
          <w:rFonts w:hint="eastAsia" w:ascii="宋体" w:hAnsi="宋体"/>
          <w:strike/>
          <w:color w:val="FF0000"/>
          <w:szCs w:val="21"/>
          <w:u w:val="single"/>
        </w:rPr>
        <w:t>是执行</w:t>
      </w:r>
      <w:r>
        <w:rPr>
          <w:rFonts w:hint="eastAsia" w:ascii="宋体" w:hAnsi="宋体"/>
          <w:szCs w:val="21"/>
        </w:rPr>
        <w:t>《</w:t>
      </w:r>
      <w:r>
        <w:rPr>
          <w:rFonts w:ascii="宋体" w:hAnsi="宋体"/>
          <w:szCs w:val="21"/>
        </w:rPr>
        <w:t>2009</w:t>
      </w:r>
      <w:r>
        <w:rPr>
          <w:rFonts w:hint="eastAsia" w:ascii="宋体" w:hAnsi="宋体"/>
          <w:szCs w:val="21"/>
        </w:rPr>
        <w:t>年香港国际安全与环境无害化拆船公约》（简称香港公约）中关于船舶的相关技术要求，内容涵盖了香港公约及其附则和相关导则的技术条款，在文字编辑上做调整。本章要求为非强制性内容，供自愿实施。</w:t>
      </w:r>
    </w:p>
    <w:p>
      <w:pPr>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7 </w:t>
      </w:r>
      <w:r>
        <w:rPr>
          <w:rFonts w:hint="eastAsia" w:ascii="宋体" w:hAnsi="宋体"/>
          <w:szCs w:val="21"/>
        </w:rPr>
        <w:t xml:space="preserve">  本篇第</w:t>
      </w:r>
      <w:r>
        <w:rPr>
          <w:rFonts w:ascii="宋体" w:hAnsi="宋体"/>
          <w:szCs w:val="21"/>
        </w:rPr>
        <w:t>9</w:t>
      </w:r>
      <w:r>
        <w:rPr>
          <w:rFonts w:hint="eastAsia" w:ascii="宋体" w:hAnsi="宋体"/>
          <w:szCs w:val="21"/>
        </w:rPr>
        <w:t>章</w:t>
      </w:r>
      <w:r>
        <w:rPr>
          <w:rFonts w:hint="eastAsia" w:ascii="宋体" w:hAnsi="宋体"/>
          <w:color w:val="FF0000"/>
          <w:szCs w:val="21"/>
          <w:u w:val="single"/>
        </w:rPr>
        <w:t>内容引用</w:t>
      </w:r>
      <w:r>
        <w:rPr>
          <w:rFonts w:hint="eastAsia" w:ascii="宋体" w:hAnsi="宋体"/>
          <w:strike/>
          <w:color w:val="FF0000"/>
          <w:szCs w:val="21"/>
          <w:u w:val="single"/>
        </w:rPr>
        <w:t>是执行</w:t>
      </w:r>
      <w:r>
        <w:rPr>
          <w:rFonts w:hint="eastAsia" w:ascii="宋体" w:hAnsi="宋体"/>
          <w:szCs w:val="21"/>
        </w:rPr>
        <w:t>《</w:t>
      </w:r>
      <w:r>
        <w:rPr>
          <w:rFonts w:ascii="宋体" w:hAnsi="宋体"/>
          <w:szCs w:val="21"/>
        </w:rPr>
        <w:t>2004</w:t>
      </w:r>
      <w:r>
        <w:rPr>
          <w:rFonts w:hint="eastAsia" w:ascii="宋体" w:hAnsi="宋体"/>
          <w:szCs w:val="21"/>
        </w:rPr>
        <w:t>年国际船舶压载水及沉积物控制与管理公约》（简称压载水公约）</w:t>
      </w:r>
      <w:r>
        <w:rPr>
          <w:rFonts w:hint="eastAsia" w:ascii="宋体" w:hAnsi="宋体"/>
          <w:color w:val="FF0000"/>
          <w:szCs w:val="21"/>
          <w:u w:val="single"/>
        </w:rPr>
        <w:t>及其下述修正案</w:t>
      </w:r>
      <w:r>
        <w:rPr>
          <w:rFonts w:hint="eastAsia" w:ascii="宋体" w:hAnsi="宋体"/>
          <w:szCs w:val="21"/>
        </w:rPr>
        <w:t>中关于船舶的相关技术及管理要求，内容涵盖了压载水公约及其附则和相关导则的技术条款，在文字编辑上做调整：</w:t>
      </w:r>
    </w:p>
    <w:p>
      <w:pPr>
        <w:autoSpaceDE w:val="0"/>
        <w:autoSpaceDN w:val="0"/>
        <w:adjustRightInd w:val="0"/>
        <w:spacing w:line="360" w:lineRule="exact"/>
        <w:ind w:firstLine="420" w:firstLineChars="200"/>
        <w:jc w:val="left"/>
        <w:rPr>
          <w:rFonts w:ascii="宋体" w:hAnsi="宋体"/>
          <w:color w:val="FF0000"/>
          <w:szCs w:val="21"/>
          <w:u w:val="single"/>
        </w:rPr>
      </w:pPr>
      <w:r>
        <w:rPr>
          <w:rFonts w:hint="eastAsia" w:ascii="宋体" w:hAnsi="宋体"/>
          <w:color w:val="FF0000"/>
          <w:szCs w:val="21"/>
          <w:u w:val="single"/>
        </w:rPr>
        <w:t>（1）2018年4月13日第72届海洋环境保护委员会以MEPC.296 (72) 决议通过的压载水公约A-1和D-3条修正案，其生效日期为2019年1月13日。</w:t>
      </w:r>
    </w:p>
    <w:p>
      <w:pPr>
        <w:autoSpaceDE w:val="0"/>
        <w:autoSpaceDN w:val="0"/>
        <w:adjustRightInd w:val="0"/>
        <w:spacing w:line="360" w:lineRule="exact"/>
        <w:ind w:firstLine="420" w:firstLineChars="200"/>
        <w:jc w:val="left"/>
        <w:rPr>
          <w:rFonts w:ascii="宋体" w:hAnsi="宋体"/>
          <w:color w:val="FF0000"/>
          <w:szCs w:val="21"/>
          <w:u w:val="single"/>
        </w:rPr>
      </w:pPr>
      <w:r>
        <w:rPr>
          <w:rFonts w:hint="eastAsia" w:ascii="宋体" w:hAnsi="宋体"/>
          <w:color w:val="FF0000"/>
          <w:szCs w:val="21"/>
          <w:u w:val="single"/>
        </w:rPr>
        <w:t>（2）2018年4月13日第72届海洋环境保护委员会以MEPC.297(72) 决议通过的压载水公约B-3条修正案，其生效日期为2019年1月13日。</w:t>
      </w:r>
    </w:p>
    <w:p>
      <w:pPr>
        <w:autoSpaceDE w:val="0"/>
        <w:autoSpaceDN w:val="0"/>
        <w:adjustRightInd w:val="0"/>
        <w:spacing w:line="360" w:lineRule="exact"/>
        <w:ind w:firstLine="420" w:firstLineChars="200"/>
        <w:jc w:val="left"/>
        <w:rPr>
          <w:rFonts w:ascii="宋体" w:hAnsi="宋体"/>
          <w:color w:val="FF0000"/>
          <w:szCs w:val="21"/>
          <w:u w:val="single"/>
        </w:rPr>
      </w:pPr>
      <w:r>
        <w:rPr>
          <w:rFonts w:hint="eastAsia" w:ascii="宋体" w:hAnsi="宋体"/>
          <w:color w:val="FF0000"/>
          <w:szCs w:val="21"/>
          <w:u w:val="single"/>
        </w:rPr>
        <w:t>（3）2018年4月13日第72届海洋环境保护委员会以MEPC.299(72) 决议通过的压载水公约E-1和E-5条修正案，其生效日期为2019年1月13日。</w:t>
      </w:r>
    </w:p>
    <w:p>
      <w:pPr>
        <w:autoSpaceDE w:val="0"/>
        <w:autoSpaceDN w:val="0"/>
        <w:adjustRightInd w:val="0"/>
        <w:spacing w:line="360" w:lineRule="exact"/>
        <w:ind w:firstLine="420" w:firstLineChars="200"/>
        <w:jc w:val="left"/>
        <w:rPr>
          <w:rFonts w:ascii="宋体" w:hAnsi="宋体"/>
          <w:color w:val="FF0000"/>
          <w:szCs w:val="21"/>
          <w:u w:val="single"/>
        </w:rPr>
      </w:pPr>
      <w:r>
        <w:rPr>
          <w:rFonts w:hint="eastAsia" w:ascii="宋体" w:hAnsi="宋体"/>
          <w:color w:val="FF0000"/>
          <w:szCs w:val="21"/>
          <w:u w:val="single"/>
        </w:rPr>
        <w:t>（4）2020年11月20日第75届海洋环境保护委员会以MEPC.325(75) 决议通过的压载水公约第E-1条和附录I修正案，其生效日期为2022年6月1日。</w:t>
      </w:r>
    </w:p>
    <w:p>
      <w:pPr>
        <w:autoSpaceDE w:val="0"/>
        <w:autoSpaceDN w:val="0"/>
        <w:adjustRightInd w:val="0"/>
        <w:spacing w:line="360" w:lineRule="exact"/>
        <w:ind w:firstLine="420" w:firstLineChars="200"/>
        <w:jc w:val="left"/>
        <w:rPr>
          <w:rFonts w:ascii="宋体" w:hAnsi="宋体"/>
          <w:szCs w:val="21"/>
        </w:rPr>
      </w:pPr>
      <w:r>
        <w:rPr>
          <w:rFonts w:hint="eastAsia" w:ascii="宋体" w:hAnsi="宋体"/>
          <w:color w:val="FF0000"/>
          <w:szCs w:val="21"/>
          <w:u w:val="single"/>
        </w:rPr>
        <w:t>2.</w:t>
      </w:r>
      <w:r>
        <w:rPr>
          <w:rFonts w:ascii="宋体" w:hAnsi="宋体"/>
          <w:szCs w:val="21"/>
        </w:rPr>
        <w:t xml:space="preserve">8 </w:t>
      </w:r>
      <w:r>
        <w:rPr>
          <w:rFonts w:hint="eastAsia" w:ascii="宋体" w:hAnsi="宋体"/>
          <w:szCs w:val="21"/>
        </w:rPr>
        <w:t xml:space="preserve">  在实施本篇第</w:t>
      </w:r>
      <w:r>
        <w:rPr>
          <w:rFonts w:ascii="宋体" w:hAnsi="宋体"/>
          <w:szCs w:val="21"/>
        </w:rPr>
        <w:t>9</w:t>
      </w:r>
      <w:r>
        <w:rPr>
          <w:rFonts w:hint="eastAsia" w:ascii="宋体" w:hAnsi="宋体"/>
          <w:szCs w:val="21"/>
        </w:rPr>
        <w:t>章的要求时，应关注《中</w:t>
      </w:r>
      <w:r>
        <w:rPr>
          <w:rFonts w:hint="eastAsia" w:ascii="宋体" w:hAnsi="宋体"/>
          <w:szCs w:val="21"/>
          <w:lang w:eastAsia="zh-CN"/>
        </w:rPr>
        <w:t>华</w:t>
      </w:r>
      <w:bookmarkStart w:id="133" w:name="_GoBack"/>
      <w:bookmarkEnd w:id="133"/>
      <w:r>
        <w:rPr>
          <w:rFonts w:hint="eastAsia" w:ascii="宋体" w:hAnsi="宋体"/>
          <w:szCs w:val="21"/>
        </w:rPr>
        <w:t>人民共和国海事局关于印发《船舶压载水和沉积物管理监督管理办法（试行）》》（海危防〔</w:t>
      </w:r>
      <w:r>
        <w:rPr>
          <w:rFonts w:ascii="宋体" w:hAnsi="宋体"/>
          <w:szCs w:val="21"/>
        </w:rPr>
        <w:t>2018</w:t>
      </w:r>
      <w:r>
        <w:rPr>
          <w:rFonts w:hint="eastAsia" w:ascii="宋体" w:hAnsi="宋体"/>
          <w:szCs w:val="21"/>
        </w:rPr>
        <w:t>〕</w:t>
      </w:r>
      <w:r>
        <w:rPr>
          <w:rFonts w:ascii="宋体" w:hAnsi="宋体"/>
          <w:szCs w:val="21"/>
        </w:rPr>
        <w:t xml:space="preserve">15 </w:t>
      </w:r>
      <w:r>
        <w:rPr>
          <w:rFonts w:hint="eastAsia" w:ascii="宋体" w:hAnsi="宋体"/>
          <w:szCs w:val="21"/>
        </w:rPr>
        <w:t>号）的相关要求。</w:t>
      </w:r>
    </w:p>
    <w:p>
      <w:pPr>
        <w:ind w:firstLine="435"/>
        <w:rPr>
          <w:rFonts w:ascii="宋体" w:hAnsi="宋体"/>
          <w:szCs w:val="21"/>
        </w:rPr>
      </w:pPr>
      <w:r>
        <w:rPr>
          <w:rFonts w:hint="eastAsia" w:ascii="宋体" w:hAnsi="宋体"/>
          <w:color w:val="FF0000"/>
          <w:szCs w:val="21"/>
          <w:u w:val="single"/>
        </w:rPr>
        <w:t>2.</w:t>
      </w:r>
      <w:r>
        <w:rPr>
          <w:rFonts w:ascii="宋体" w:hAnsi="宋体"/>
          <w:szCs w:val="21"/>
        </w:rPr>
        <w:t xml:space="preserve">9 </w:t>
      </w:r>
      <w:r>
        <w:rPr>
          <w:rFonts w:hint="eastAsia" w:ascii="宋体" w:hAnsi="宋体"/>
          <w:szCs w:val="21"/>
        </w:rPr>
        <w:t xml:space="preserve">  本篇内容涉及到有关实施检验与发证的“主管机关”，应理解为“本局”。”</w:t>
      </w:r>
    </w:p>
    <w:p>
      <w:pPr>
        <w:ind w:firstLine="435"/>
        <w:rPr>
          <w:rFonts w:ascii="宋体" w:hAnsi="宋体"/>
          <w:szCs w:val="21"/>
        </w:rPr>
      </w:pPr>
    </w:p>
    <w:p>
      <w:pPr>
        <w:ind w:firstLine="435"/>
        <w:rPr>
          <w:rFonts w:ascii="Times New Roman" w:hAnsi="Times New Roman" w:cs="Times New Roman"/>
        </w:rPr>
      </w:pPr>
    </w:p>
    <w:p>
      <w:pPr>
        <w:ind w:firstLine="435"/>
        <w:rPr>
          <w:rFonts w:ascii="Times New Roman" w:hAnsi="Times New Roman" w:cs="Times New Roman"/>
        </w:rPr>
      </w:pPr>
    </w:p>
    <w:p>
      <w:pPr>
        <w:widowControl/>
        <w:jc w:val="left"/>
        <w:rPr>
          <w:rFonts w:ascii="Times New Roman" w:hAnsi="Times New Roman" w:cs="Times New Roman"/>
          <w:szCs w:val="21"/>
        </w:rPr>
      </w:pPr>
      <w:r>
        <w:rPr>
          <w:rFonts w:ascii="Times New Roman" w:hAnsi="Times New Roman" w:cs="Times New Roman"/>
        </w:rPr>
        <w:br w:type="page"/>
      </w:r>
    </w:p>
    <w:p>
      <w:pPr>
        <w:pStyle w:val="35"/>
        <w:outlineLvl w:val="0"/>
        <w:rPr>
          <w:rFonts w:hint="default" w:ascii="Times New Roman" w:hAnsi="Times New Roman" w:cs="Times New Roman"/>
        </w:rPr>
      </w:pPr>
      <w:bookmarkStart w:id="5" w:name="_Toc12755"/>
      <w:bookmarkStart w:id="6" w:name="_Toc94175426"/>
      <w:r>
        <w:rPr>
          <w:rFonts w:ascii="Times New Roman" w:hAnsi="Times New Roman" w:cs="Times New Roman"/>
        </w:rPr>
        <w:t>第1章  防止油类污染规则</w:t>
      </w:r>
      <w:bookmarkEnd w:id="5"/>
      <w:bookmarkEnd w:id="6"/>
    </w:p>
    <w:p>
      <w:pPr>
        <w:pStyle w:val="35"/>
        <w:rPr>
          <w:rFonts w:hint="default" w:ascii="Times New Roman" w:hAnsi="Times New Roman" w:cs="Times New Roman"/>
        </w:rPr>
      </w:pPr>
      <w:r>
        <w:rPr>
          <w:rFonts w:ascii="Times New Roman" w:hAnsi="Times New Roman" w:cs="Times New Roman"/>
        </w:rPr>
        <w:t>（MARPOL附则I）</w:t>
      </w:r>
    </w:p>
    <w:p>
      <w:pPr>
        <w:pStyle w:val="36"/>
        <w:outlineLvl w:val="9"/>
        <w:rPr>
          <w:rFonts w:hint="default" w:ascii="Times New Roman" w:hAnsi="Times New Roman"/>
        </w:rPr>
      </w:pPr>
    </w:p>
    <w:p>
      <w:pPr>
        <w:pStyle w:val="36"/>
        <w:rPr>
          <w:rFonts w:hint="default" w:ascii="Times New Roman" w:hAnsi="Times New Roman"/>
        </w:rPr>
      </w:pPr>
      <w:bookmarkStart w:id="7" w:name="_Toc1892"/>
      <w:bookmarkStart w:id="8" w:name="_Toc94175427"/>
      <w:r>
        <w:rPr>
          <w:rFonts w:ascii="Times New Roman" w:hAnsi="Times New Roman"/>
        </w:rPr>
        <w:t>I  总  则</w:t>
      </w:r>
      <w:bookmarkEnd w:id="7"/>
      <w:bookmarkEnd w:id="8"/>
    </w:p>
    <w:p>
      <w:pPr>
        <w:pStyle w:val="10"/>
        <w:jc w:val="center"/>
        <w:rPr>
          <w:rFonts w:ascii="Times New Roman" w:hAnsi="Times New Roman" w:eastAsia="楷体" w:cs="Times New Roman"/>
          <w:sz w:val="28"/>
          <w:szCs w:val="28"/>
        </w:rPr>
      </w:pPr>
    </w:p>
    <w:p>
      <w:pPr>
        <w:pStyle w:val="10"/>
        <w:jc w:val="center"/>
        <w:outlineLvl w:val="3"/>
        <w:rPr>
          <w:rFonts w:ascii="Times New Roman" w:hAnsi="Times New Roman" w:eastAsia="黑体" w:cs="Times New Roman"/>
          <w:bCs/>
        </w:rPr>
      </w:pPr>
      <w:bookmarkStart w:id="9" w:name="_Toc26742"/>
      <w:r>
        <w:rPr>
          <w:rFonts w:hint="eastAsia" w:ascii="Times New Roman" w:hAnsi="Times New Roman" w:eastAsia="黑体" w:cs="Times New Roman"/>
          <w:bCs/>
        </w:rPr>
        <w:t>第</w:t>
      </w:r>
      <w:r>
        <w:rPr>
          <w:rFonts w:ascii="Times New Roman" w:hAnsi="Times New Roman" w:eastAsia="黑体" w:cs="Times New Roman"/>
          <w:bCs/>
        </w:rPr>
        <w:t>1</w:t>
      </w:r>
      <w:r>
        <w:rPr>
          <w:rFonts w:hint="eastAsia" w:ascii="Times New Roman" w:hAnsi="Times New Roman" w:eastAsia="黑体" w:cs="Times New Roman"/>
          <w:bCs/>
        </w:rPr>
        <w:t xml:space="preserve">条  </w:t>
      </w:r>
      <w:r>
        <w:rPr>
          <w:rFonts w:ascii="Times New Roman" w:hAnsi="Times New Roman" w:eastAsia="黑体" w:cs="Times New Roman"/>
          <w:bCs/>
        </w:rPr>
        <w:t>定    义</w:t>
      </w:r>
      <w:bookmarkEnd w:id="9"/>
    </w:p>
    <w:p>
      <w:pPr>
        <w:pStyle w:val="10"/>
        <w:jc w:val="center"/>
        <w:rPr>
          <w:rFonts w:ascii="Times New Roman" w:hAnsi="Times New Roman" w:eastAsia="黑体" w:cs="Times New Roman"/>
          <w:bCs/>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原16改为：</w:t>
      </w:r>
    </w:p>
    <w:p>
      <w:pPr>
        <w:pStyle w:val="10"/>
        <w:ind w:firstLine="420" w:firstLineChars="200"/>
        <w:rPr>
          <w:rFonts w:ascii="Times New Roman" w:hAnsi="Times New Roman" w:eastAsia="宋体" w:cs="Times New Roman"/>
          <w:lang w:bidi="ar"/>
        </w:rPr>
      </w:pPr>
      <w:r>
        <w:rPr>
          <w:rFonts w:hint="eastAsia" w:ascii="Times New Roman" w:hAnsi="Times New Roman" w:eastAsia="宋体" w:cs="Times New Roman"/>
          <w:lang w:bidi="ar"/>
        </w:rPr>
        <w:t xml:space="preserve">“16  </w:t>
      </w:r>
      <w:r>
        <w:rPr>
          <w:rFonts w:hint="eastAsia" w:ascii="Times New Roman" w:hAnsi="Times New Roman" w:eastAsia="宋体" w:cs="Times New Roman"/>
          <w:b/>
          <w:lang w:bidi="ar"/>
        </w:rPr>
        <w:t>污油水舱</w:t>
      </w:r>
      <w:r>
        <w:rPr>
          <w:rFonts w:hint="eastAsia" w:ascii="Times New Roman" w:hAnsi="Times New Roman" w:eastAsia="宋体" w:cs="Times New Roman"/>
          <w:lang w:bidi="ar"/>
        </w:rPr>
        <w:t>系指</w:t>
      </w:r>
      <w:r>
        <w:rPr>
          <w:rFonts w:hint="eastAsia" w:ascii="Times New Roman" w:hAnsi="Times New Roman" w:eastAsia="宋体" w:cs="Times New Roman"/>
          <w:strike/>
          <w:color w:val="FF0000"/>
          <w:lang w:bidi="ar"/>
        </w:rPr>
        <w:t>专</w:t>
      </w:r>
      <w:r>
        <w:rPr>
          <w:rFonts w:hint="eastAsia" w:ascii="Times New Roman" w:hAnsi="Times New Roman" w:eastAsia="宋体" w:cs="Times New Roman"/>
          <w:color w:val="FF0000"/>
          <w:u w:val="single"/>
          <w:lang w:bidi="ar"/>
        </w:rPr>
        <w:t>明确指定</w:t>
      </w:r>
      <w:r>
        <w:rPr>
          <w:rFonts w:hint="eastAsia" w:ascii="Times New Roman" w:hAnsi="Times New Roman" w:eastAsia="宋体" w:cs="Times New Roman"/>
          <w:lang w:bidi="ar"/>
        </w:rPr>
        <w:t>用于收集舱柜排出物、洗舱水和其他油性混合物的舱柜。”</w:t>
      </w:r>
    </w:p>
    <w:p>
      <w:pPr>
        <w:pStyle w:val="10"/>
        <w:ind w:firstLine="420" w:firstLineChars="200"/>
        <w:rPr>
          <w:rFonts w:ascii="Times New Roman" w:hAnsi="Times New Roman" w:eastAsia="宋体" w:cs="Times New Roman"/>
          <w:color w:val="0000E1"/>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新增39如下：</w:t>
      </w:r>
    </w:p>
    <w:p>
      <w:pPr>
        <w:pStyle w:val="10"/>
        <w:ind w:firstLine="420" w:firstLineChars="200"/>
        <w:rPr>
          <w:rFonts w:ascii="Times New Roman" w:hAnsi="Times New Roman" w:eastAsia="宋体" w:cs="Times New Roman"/>
          <w:color w:val="FF0000"/>
          <w:u w:val="single"/>
          <w:lang w:bidi="ar"/>
        </w:rPr>
      </w:pPr>
      <w:r>
        <w:rPr>
          <w:rFonts w:hint="eastAsia" w:ascii="Times New Roman" w:hAnsi="Times New Roman" w:eastAsia="宋体" w:cs="Times New Roman"/>
          <w:lang w:bidi="ar"/>
        </w:rPr>
        <w:t>“</w:t>
      </w:r>
      <w:r>
        <w:rPr>
          <w:rFonts w:hint="eastAsia" w:ascii="Times New Roman" w:hAnsi="Times New Roman" w:eastAsia="宋体" w:cs="Times New Roman"/>
          <w:color w:val="FF0000"/>
          <w:u w:val="single"/>
          <w:lang w:bidi="ar"/>
        </w:rPr>
        <w:t xml:space="preserve">39  </w:t>
      </w:r>
      <w:r>
        <w:rPr>
          <w:rFonts w:hint="eastAsia" w:ascii="Times New Roman" w:hAnsi="Times New Roman" w:eastAsia="宋体" w:cs="Times New Roman"/>
          <w:b/>
          <w:color w:val="FF0000"/>
          <w:u w:val="single"/>
          <w:lang w:bidi="ar"/>
        </w:rPr>
        <w:t>电子记录簿</w:t>
      </w:r>
      <w:r>
        <w:rPr>
          <w:rFonts w:hint="eastAsia" w:ascii="Times New Roman" w:hAnsi="Times New Roman" w:eastAsia="宋体" w:cs="Times New Roman"/>
          <w:color w:val="FF0000"/>
          <w:u w:val="single"/>
          <w:lang w:bidi="ar"/>
        </w:rPr>
        <w:t>系指经主管机关批准的，用于以电子方式记录本附则所规定的排放、过驳和其他操作所需项目的装置或系统，以代替纸质记录簿。</w:t>
      </w:r>
      <w:r>
        <w:rPr>
          <w:rFonts w:hint="eastAsia" w:ascii="Times New Roman" w:hAnsi="Times New Roman" w:eastAsia="宋体" w:cs="Times New Roman"/>
          <w:lang w:bidi="ar"/>
        </w:rPr>
        <w:t>”</w:t>
      </w:r>
    </w:p>
    <w:p>
      <w:pPr>
        <w:pStyle w:val="10"/>
        <w:ind w:firstLine="420" w:firstLineChars="200"/>
        <w:rPr>
          <w:rFonts w:ascii="Times New Roman" w:hAnsi="Times New Roman" w:eastAsia="宋体" w:cs="Times New Roman"/>
          <w:color w:val="0000E1"/>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自2022年11月1日起，新增40如下：</w:t>
      </w:r>
    </w:p>
    <w:p>
      <w:pPr>
        <w:pStyle w:val="10"/>
        <w:ind w:firstLine="420" w:firstLineChars="200"/>
        <w:rPr>
          <w:rFonts w:ascii="Times New Roman" w:hAnsi="Times New Roman" w:eastAsia="宋体" w:cs="Times New Roman"/>
          <w:color w:val="FF0000"/>
          <w:u w:val="single"/>
          <w:lang w:bidi="ar"/>
        </w:rPr>
      </w:pPr>
      <w:r>
        <w:rPr>
          <w:rFonts w:hint="eastAsia" w:ascii="Times New Roman" w:hAnsi="Times New Roman" w:eastAsia="宋体" w:cs="Times New Roman"/>
          <w:lang w:bidi="ar"/>
        </w:rPr>
        <w:t>“</w:t>
      </w:r>
      <w:r>
        <w:rPr>
          <w:rFonts w:hint="eastAsia" w:ascii="Times New Roman" w:hAnsi="Times New Roman" w:eastAsia="宋体" w:cs="Times New Roman"/>
          <w:color w:val="FF0000"/>
          <w:u w:val="single"/>
          <w:lang w:bidi="ar"/>
        </w:rPr>
        <w:t xml:space="preserve">40 </w:t>
      </w:r>
      <w:r>
        <w:rPr>
          <w:rFonts w:hint="eastAsia" w:ascii="Times New Roman" w:hAnsi="Times New Roman" w:eastAsia="宋体" w:cs="Times New Roman"/>
          <w:b/>
          <w:color w:val="FF0000"/>
          <w:u w:val="single"/>
          <w:lang w:bidi="ar"/>
        </w:rPr>
        <w:t>无人非自航（UNSP）驳船</w:t>
      </w:r>
      <w:r>
        <w:rPr>
          <w:rFonts w:hint="eastAsia" w:ascii="Times New Roman" w:hAnsi="Times New Roman" w:eastAsia="宋体" w:cs="Times New Roman"/>
          <w:color w:val="FF0000"/>
          <w:u w:val="single"/>
          <w:lang w:bidi="ar"/>
        </w:rPr>
        <w:t>系指如下的驳船：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  </w:t>
      </w:r>
      <w:r>
        <w:rPr>
          <w:rFonts w:hint="eastAsia" w:ascii="Times New Roman" w:hAnsi="Times New Roman" w:eastAsia="宋体" w:cs="Times New Roman"/>
          <w:lang w:bidi="ar"/>
        </w:rPr>
        <w:t>非机械方式推进；</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  </w:t>
      </w:r>
      <w:r>
        <w:rPr>
          <w:rFonts w:hint="eastAsia" w:ascii="Times New Roman" w:hAnsi="Times New Roman" w:eastAsia="宋体" w:cs="Times New Roman"/>
          <w:lang w:bidi="ar"/>
        </w:rPr>
        <w:t>不载运油类（如本附则第</w:t>
      </w:r>
      <w:r>
        <w:rPr>
          <w:rFonts w:ascii="Times New Roman" w:hAnsi="Times New Roman" w:eastAsia="宋体" w:cs="Times New Roman"/>
          <w:lang w:bidi="ar"/>
        </w:rPr>
        <w:t>1.1</w:t>
      </w:r>
      <w:r>
        <w:rPr>
          <w:rFonts w:hint="eastAsia" w:ascii="Times New Roman" w:hAnsi="Times New Roman" w:eastAsia="宋体" w:cs="Times New Roman"/>
          <w:lang w:bidi="ar"/>
        </w:rPr>
        <w:t>条所定义）；</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.3  </w:t>
      </w:r>
      <w:r>
        <w:rPr>
          <w:rFonts w:hint="eastAsia" w:ascii="Times New Roman" w:hAnsi="Times New Roman" w:eastAsia="宋体" w:cs="Times New Roman"/>
          <w:lang w:bidi="ar"/>
        </w:rPr>
        <w:t>未安装可能使用油类或产生残油（油泥）的机械；</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.4  </w:t>
      </w:r>
      <w:r>
        <w:rPr>
          <w:rFonts w:hint="eastAsia" w:ascii="Times New Roman" w:hAnsi="Times New Roman" w:eastAsia="宋体" w:cs="Times New Roman"/>
          <w:lang w:bidi="ar"/>
        </w:rPr>
        <w:t>无燃油舱、润滑油舱、含油舱底水储存舱、残油（油泥）舱；和</w:t>
      </w:r>
    </w:p>
    <w:p>
      <w:pPr>
        <w:pStyle w:val="10"/>
        <w:ind w:left="1108" w:leftChars="330" w:hanging="415" w:hangingChars="198"/>
        <w:rPr>
          <w:rFonts w:ascii="Times New Roman" w:hAnsi="Times New Roman" w:eastAsia="宋体" w:cs="Times New Roman"/>
          <w:color w:val="0000E1"/>
          <w:lang w:bidi="ar"/>
        </w:rPr>
      </w:pPr>
      <w:r>
        <w:rPr>
          <w:rFonts w:ascii="Times New Roman" w:hAnsi="Times New Roman" w:eastAsia="宋体" w:cs="Times New Roman"/>
          <w:lang w:bidi="ar"/>
        </w:rPr>
        <w:t xml:space="preserve">.5  </w:t>
      </w:r>
      <w:r>
        <w:rPr>
          <w:rFonts w:hint="eastAsia" w:ascii="Times New Roman" w:hAnsi="Times New Roman" w:eastAsia="宋体" w:cs="Times New Roman"/>
          <w:lang w:bidi="ar"/>
        </w:rPr>
        <w:t>船上没有人或活的动物。”</w:t>
      </w:r>
    </w:p>
    <w:p>
      <w:pPr>
        <w:pStyle w:val="10"/>
        <w:jc w:val="center"/>
        <w:rPr>
          <w:rFonts w:ascii="Times New Roman" w:hAnsi="Times New Roman" w:eastAsia="黑体" w:cs="Times New Roman"/>
          <w:bCs/>
        </w:rPr>
      </w:pPr>
    </w:p>
    <w:p>
      <w:pPr>
        <w:pStyle w:val="10"/>
        <w:jc w:val="center"/>
        <w:outlineLvl w:val="3"/>
        <w:rPr>
          <w:rFonts w:ascii="Times New Roman" w:hAnsi="Times New Roman" w:eastAsia="黑体" w:cs="Times New Roman"/>
          <w:bCs/>
        </w:rPr>
      </w:pPr>
      <w:bookmarkStart w:id="10" w:name="_Toc29023"/>
      <w:r>
        <w:rPr>
          <w:rFonts w:hint="eastAsia" w:ascii="Times New Roman" w:hAnsi="Times New Roman" w:eastAsia="黑体" w:cs="Times New Roman"/>
          <w:bCs/>
        </w:rPr>
        <w:t>第3条  免    除</w:t>
      </w:r>
      <w:bookmarkEnd w:id="10"/>
    </w:p>
    <w:p>
      <w:pPr>
        <w:pStyle w:val="10"/>
        <w:jc w:val="center"/>
        <w:rPr>
          <w:rFonts w:ascii="Times New Roman" w:hAnsi="Times New Roman" w:eastAsia="黑体" w:cs="Times New Roman"/>
          <w:bCs/>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自2022年11月1日起，原2改为：</w:t>
      </w:r>
    </w:p>
    <w:p>
      <w:pPr>
        <w:ind w:firstLine="420"/>
        <w:rPr>
          <w:rFonts w:ascii="宋体" w:hAnsi="宋体" w:eastAsia="宋体" w:cs="Times New Roman"/>
          <w:color w:val="FF0000"/>
          <w:szCs w:val="21"/>
          <w:u w:val="single"/>
        </w:rPr>
      </w:pPr>
      <w:r>
        <w:rPr>
          <w:rFonts w:hint="eastAsia" w:ascii="Times New Roman" w:hAnsi="Times New Roman" w:eastAsia="宋体" w:cs="Times New Roman"/>
          <w:szCs w:val="21"/>
          <w:lang w:bidi="ar"/>
        </w:rPr>
        <w:t>“2</w:t>
      </w:r>
      <w:r>
        <w:rPr>
          <w:rFonts w:hint="eastAsia" w:ascii="宋体" w:hAnsi="宋体" w:eastAsia="宋体" w:cs="Times New Roman"/>
          <w:szCs w:val="21"/>
        </w:rPr>
        <w:t>　</w:t>
      </w:r>
      <w:r>
        <w:rPr>
          <w:rFonts w:hint="eastAsia" w:ascii="宋体" w:hAnsi="宋体" w:eastAsia="宋体" w:cs="Times New Roman"/>
          <w:strike/>
          <w:color w:val="FF0000"/>
          <w:szCs w:val="21"/>
        </w:rPr>
        <w:t>主管机关所准许的任何这种免除的细节，应在本附则第</w:t>
      </w:r>
      <w:r>
        <w:rPr>
          <w:rFonts w:ascii="宋体" w:hAnsi="宋体" w:eastAsia="宋体" w:cs="Times New Roman"/>
          <w:strike/>
          <w:color w:val="FF0000"/>
          <w:szCs w:val="21"/>
        </w:rPr>
        <w:t>7</w:t>
      </w:r>
      <w:r>
        <w:rPr>
          <w:rFonts w:hint="eastAsia" w:ascii="宋体" w:hAnsi="宋体" w:eastAsia="宋体" w:cs="Times New Roman"/>
          <w:strike/>
          <w:color w:val="FF0000"/>
          <w:szCs w:val="21"/>
        </w:rPr>
        <w:t>条所指的证书中予以指明。</w:t>
      </w:r>
      <w:r>
        <w:rPr>
          <w:rFonts w:hint="eastAsia" w:ascii="宋体" w:hAnsi="宋体" w:eastAsia="宋体" w:cs="Times New Roman"/>
          <w:color w:val="FF0000"/>
          <w:szCs w:val="21"/>
          <w:u w:val="single"/>
        </w:rPr>
        <w:t>除本条7所述的免除之外，主管机关授予的任何此类免除的详情均应在本附则第7条所述的证书中加以注明。</w:t>
      </w:r>
      <w:r>
        <w:rPr>
          <w:rFonts w:hint="eastAsia" w:ascii="宋体" w:hAnsi="宋体" w:eastAsia="宋体" w:cs="Times New Roman"/>
          <w:szCs w:val="21"/>
        </w:rPr>
        <w:t>”</w:t>
      </w:r>
    </w:p>
    <w:p>
      <w:pPr>
        <w:pStyle w:val="10"/>
        <w:ind w:firstLine="420" w:firstLineChars="200"/>
        <w:rPr>
          <w:rFonts w:ascii="楷体" w:hAnsi="楷体" w:eastAsia="楷体" w:cs="楷体"/>
          <w:snapToGrid w:val="0"/>
          <w:color w:val="0000FF"/>
          <w:kern w:val="0"/>
          <w:u w:val="single"/>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自2022年11月1日起，新增7如下：</w:t>
      </w:r>
    </w:p>
    <w:p>
      <w:pPr>
        <w:pStyle w:val="10"/>
        <w:ind w:firstLine="420"/>
        <w:rPr>
          <w:rFonts w:ascii="Times New Roman" w:hAnsi="Times New Roman" w:eastAsia="宋体" w:cs="Times New Roman"/>
          <w:lang w:bidi="ar"/>
        </w:rPr>
      </w:pPr>
      <w:r>
        <w:rPr>
          <w:rFonts w:hint="eastAsia" w:ascii="Times New Roman" w:hAnsi="Times New Roman" w:eastAsia="宋体" w:cs="Times New Roman"/>
          <w:lang w:bidi="ar"/>
        </w:rPr>
        <w:t>“</w:t>
      </w:r>
      <w:r>
        <w:rPr>
          <w:rFonts w:hint="eastAsia" w:ascii="Times New Roman" w:hAnsi="Times New Roman" w:eastAsia="宋体" w:cs="Times New Roman"/>
          <w:color w:val="FF0000"/>
          <w:u w:val="single"/>
          <w:lang w:bidi="ar"/>
        </w:rPr>
        <w:t>7</w:t>
      </w:r>
      <w:r>
        <w:rPr>
          <w:rFonts w:ascii="Times New Roman" w:hAnsi="Times New Roman" w:eastAsia="宋体" w:cs="Times New Roman"/>
          <w:color w:val="FF0000"/>
          <w:u w:val="single"/>
          <w:lang w:bidi="ar"/>
        </w:rPr>
        <w:t xml:space="preserve">  </w:t>
      </w:r>
      <w:r>
        <w:rPr>
          <w:rFonts w:hint="eastAsia" w:ascii="Times New Roman" w:hAnsi="Times New Roman" w:eastAsia="宋体" w:cs="Times New Roman"/>
          <w:color w:val="FF0000"/>
          <w:u w:val="single"/>
          <w:lang w:bidi="ar"/>
        </w:rPr>
        <w:t>主管机关可通过签发《国际无人非自航(UNSP)驳船防止油污免除证书》，免除无人非自航（UNSP）驳船</w:t>
      </w:r>
      <w:r>
        <w:rPr>
          <w:rFonts w:ascii="Times New Roman" w:hAnsi="Times New Roman" w:eastAsia="宋体" w:cs="Times New Roman"/>
          <w:color w:val="FF0000"/>
          <w:u w:val="single"/>
          <w:vertAlign w:val="superscript"/>
          <w:lang w:bidi="ar"/>
        </w:rPr>
        <w:footnoteReference w:id="0"/>
      </w:r>
      <w:r>
        <w:rPr>
          <w:rFonts w:hint="eastAsia" w:ascii="Times New Roman" w:hAnsi="Times New Roman" w:eastAsia="宋体" w:cs="Times New Roman"/>
          <w:color w:val="FF0000"/>
          <w:u w:val="single"/>
          <w:lang w:bidi="ar"/>
        </w:rPr>
        <w:t>满足本附则第</w:t>
      </w:r>
      <w:r>
        <w:rPr>
          <w:rFonts w:ascii="Times New Roman" w:hAnsi="Times New Roman" w:eastAsia="宋体" w:cs="Times New Roman"/>
          <w:color w:val="FF0000"/>
          <w:u w:val="single"/>
          <w:lang w:bidi="ar"/>
        </w:rPr>
        <w:t>6.1</w:t>
      </w:r>
      <w:r>
        <w:rPr>
          <w:rFonts w:hint="eastAsia" w:ascii="Times New Roman" w:hAnsi="Times New Roman" w:eastAsia="宋体" w:cs="Times New Roman"/>
          <w:color w:val="FF0000"/>
          <w:u w:val="single"/>
          <w:lang w:bidi="ar"/>
        </w:rPr>
        <w:t>条和第</w:t>
      </w:r>
      <w:r>
        <w:rPr>
          <w:rFonts w:ascii="Times New Roman" w:hAnsi="Times New Roman" w:eastAsia="宋体" w:cs="Times New Roman"/>
          <w:color w:val="FF0000"/>
          <w:u w:val="single"/>
          <w:lang w:bidi="ar"/>
        </w:rPr>
        <w:t>7.1</w:t>
      </w:r>
      <w:r>
        <w:rPr>
          <w:rFonts w:hint="eastAsia" w:ascii="Times New Roman" w:hAnsi="Times New Roman" w:eastAsia="宋体" w:cs="Times New Roman"/>
          <w:color w:val="FF0000"/>
          <w:u w:val="single"/>
          <w:lang w:bidi="ar"/>
        </w:rPr>
        <w:t>条的要求，免除时间不超过五年，且前提是已对该无人非自航驳船进行过检验以确认其符合本附则第</w:t>
      </w:r>
      <w:r>
        <w:rPr>
          <w:rFonts w:ascii="Times New Roman" w:hAnsi="Times New Roman" w:eastAsia="宋体" w:cs="Times New Roman"/>
          <w:color w:val="FF0000"/>
          <w:u w:val="single"/>
          <w:lang w:bidi="ar"/>
        </w:rPr>
        <w:t>1.40.1</w:t>
      </w:r>
      <w:r>
        <w:rPr>
          <w:rFonts w:hint="eastAsia" w:ascii="Times New Roman" w:hAnsi="Times New Roman" w:eastAsia="宋体" w:cs="Times New Roman"/>
          <w:color w:val="FF0000"/>
          <w:u w:val="single"/>
          <w:lang w:bidi="ar"/>
        </w:rPr>
        <w:t>条至第</w:t>
      </w:r>
      <w:r>
        <w:rPr>
          <w:rFonts w:ascii="Times New Roman" w:hAnsi="Times New Roman" w:eastAsia="宋体" w:cs="Times New Roman"/>
          <w:color w:val="FF0000"/>
          <w:u w:val="single"/>
          <w:lang w:bidi="ar"/>
        </w:rPr>
        <w:t>1.40.5</w:t>
      </w:r>
      <w:r>
        <w:rPr>
          <w:rFonts w:hint="eastAsia" w:ascii="Times New Roman" w:hAnsi="Times New Roman" w:eastAsia="宋体" w:cs="Times New Roman"/>
          <w:color w:val="FF0000"/>
          <w:u w:val="single"/>
          <w:lang w:bidi="ar"/>
        </w:rPr>
        <w:t>条规定的条件。</w:t>
      </w:r>
      <w:r>
        <w:rPr>
          <w:rFonts w:hint="eastAsia" w:ascii="Times New Roman" w:hAnsi="Times New Roman" w:eastAsia="宋体" w:cs="Times New Roman"/>
          <w:lang w:bidi="ar"/>
        </w:rPr>
        <w:t>”</w:t>
      </w:r>
    </w:p>
    <w:p>
      <w:pPr>
        <w:pStyle w:val="10"/>
        <w:jc w:val="center"/>
        <w:rPr>
          <w:rFonts w:ascii="Times New Roman" w:hAnsi="Times New Roman" w:eastAsia="宋体" w:cs="Times New Roman"/>
          <w:sz w:val="28"/>
          <w:szCs w:val="28"/>
          <w:lang w:bidi="ar"/>
        </w:rPr>
      </w:pPr>
    </w:p>
    <w:p>
      <w:pPr>
        <w:pStyle w:val="36"/>
        <w:rPr>
          <w:rFonts w:hint="default" w:ascii="Times New Roman" w:hAnsi="Times New Roman"/>
        </w:rPr>
      </w:pPr>
      <w:bookmarkStart w:id="11" w:name="_Toc94175428"/>
      <w:bookmarkStart w:id="12" w:name="_Toc7672"/>
      <w:r>
        <w:rPr>
          <w:rFonts w:ascii="宋体" w:hAnsi="宋体" w:eastAsia="宋体" w:cs="宋体"/>
        </w:rPr>
        <w:t>Ⅱ</w:t>
      </w:r>
      <w:r>
        <w:rPr>
          <w:rFonts w:ascii="Times New Roman" w:hAnsi="Times New Roman"/>
        </w:rPr>
        <w:t xml:space="preserve">  检验和发证</w:t>
      </w:r>
      <w:bookmarkEnd w:id="11"/>
      <w:bookmarkEnd w:id="12"/>
    </w:p>
    <w:p>
      <w:pPr>
        <w:pStyle w:val="36"/>
        <w:outlineLvl w:val="9"/>
        <w:rPr>
          <w:rFonts w:hint="default" w:ascii="Times New Roman" w:hAnsi="Times New Roman"/>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原第8条标题改为：</w:t>
      </w:r>
    </w:p>
    <w:p>
      <w:pPr>
        <w:pStyle w:val="10"/>
        <w:jc w:val="center"/>
        <w:outlineLvl w:val="3"/>
        <w:rPr>
          <w:rFonts w:ascii="Times New Roman" w:hAnsi="Times New Roman" w:eastAsia="黑体" w:cs="Times New Roman"/>
          <w:bCs/>
        </w:rPr>
      </w:pPr>
      <w:bookmarkStart w:id="13" w:name="_Toc7972"/>
      <w:r>
        <w:rPr>
          <w:rFonts w:hint="eastAsia" w:asciiTheme="minorEastAsia" w:hAnsiTheme="minorEastAsia" w:cstheme="minorEastAsia"/>
          <w:bCs/>
        </w:rPr>
        <w:t>“</w:t>
      </w:r>
      <w:r>
        <w:rPr>
          <w:rFonts w:hint="eastAsia" w:ascii="Times New Roman" w:hAnsi="Times New Roman" w:eastAsia="黑体" w:cs="Times New Roman"/>
          <w:bCs/>
        </w:rPr>
        <w:t>第</w:t>
      </w:r>
      <w:r>
        <w:rPr>
          <w:rFonts w:ascii="Times New Roman" w:hAnsi="Times New Roman" w:eastAsia="黑体" w:cs="Times New Roman"/>
          <w:bCs/>
        </w:rPr>
        <w:t>8</w:t>
      </w:r>
      <w:r>
        <w:rPr>
          <w:rFonts w:hint="eastAsia" w:ascii="Times New Roman" w:hAnsi="Times New Roman" w:eastAsia="黑体" w:cs="Times New Roman"/>
          <w:bCs/>
        </w:rPr>
        <w:t>条　他国政府</w:t>
      </w:r>
      <w:r>
        <w:rPr>
          <w:rFonts w:hint="eastAsia" w:ascii="Times New Roman" w:hAnsi="Times New Roman" w:eastAsia="黑体" w:cs="Times New Roman"/>
          <w:bCs/>
          <w:strike/>
          <w:color w:val="FF0000"/>
        </w:rPr>
        <w:t>代</w:t>
      </w:r>
      <w:r>
        <w:rPr>
          <w:rFonts w:hint="eastAsia" w:ascii="Times New Roman" w:hAnsi="Times New Roman" w:eastAsia="黑体" w:cs="Times New Roman"/>
          <w:bCs/>
          <w:color w:val="FF0000"/>
          <w:u w:val="single"/>
        </w:rPr>
        <w:t>签</w:t>
      </w:r>
      <w:r>
        <w:rPr>
          <w:rFonts w:hint="eastAsia" w:ascii="Times New Roman" w:hAnsi="Times New Roman" w:eastAsia="黑体" w:cs="Times New Roman"/>
          <w:bCs/>
        </w:rPr>
        <w:t>发或签署证书</w:t>
      </w:r>
      <w:r>
        <w:rPr>
          <w:rFonts w:hint="eastAsia" w:hAnsi="宋体" w:eastAsia="宋体" w:cs="宋体"/>
          <w:bCs/>
        </w:rPr>
        <w:t>”</w:t>
      </w:r>
      <w:bookmarkEnd w:id="13"/>
    </w:p>
    <w:p>
      <w:pPr>
        <w:pStyle w:val="10"/>
        <w:ind w:firstLine="420"/>
        <w:rPr>
          <w:rFonts w:ascii="楷体" w:hAnsi="楷体" w:eastAsia="楷体" w:cs="楷体"/>
          <w:snapToGrid w:val="0"/>
          <w:color w:val="0000FF"/>
          <w:kern w:val="0"/>
          <w:u w:val="single"/>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自2022年11月1日起，原4改为：</w:t>
      </w:r>
    </w:p>
    <w:p>
      <w:pPr>
        <w:pStyle w:val="10"/>
        <w:ind w:firstLine="420"/>
        <w:rPr>
          <w:rFonts w:ascii="Times New Roman" w:hAnsi="Times New Roman" w:eastAsia="宋体" w:cs="Times New Roman"/>
          <w:lang w:bidi="ar"/>
        </w:rPr>
      </w:pPr>
      <w:r>
        <w:rPr>
          <w:rFonts w:hint="eastAsia" w:ascii="Times New Roman" w:hAnsi="Times New Roman" w:eastAsia="宋体" w:cs="Times New Roman"/>
          <w:lang w:bidi="ar"/>
        </w:rPr>
        <w:t>“4　对于悬挂非缔约国国旗的船舶，不得签发《国际防止油污证书》</w:t>
      </w:r>
      <w:r>
        <w:rPr>
          <w:rFonts w:hint="eastAsia" w:ascii="Times New Roman" w:hAnsi="Times New Roman" w:eastAsia="宋体" w:cs="Times New Roman"/>
          <w:color w:val="FF0000"/>
          <w:u w:val="single"/>
          <w:lang w:bidi="ar"/>
        </w:rPr>
        <w:t>或《国际无人非自航(UNSP)驳船防止油污免除证书》</w:t>
      </w:r>
      <w:r>
        <w:rPr>
          <w:rFonts w:hint="eastAsia" w:ascii="Times New Roman" w:hAnsi="Times New Roman" w:eastAsia="宋体" w:cs="Times New Roman"/>
          <w:lang w:bidi="ar"/>
        </w:rPr>
        <w:t>。”</w:t>
      </w:r>
    </w:p>
    <w:p>
      <w:pPr>
        <w:ind w:firstLine="420"/>
        <w:rPr>
          <w:rFonts w:ascii="宋体" w:hAnsi="宋体" w:eastAsia="宋体" w:cs="Times New Roman"/>
          <w:szCs w:val="21"/>
        </w:rPr>
      </w:pPr>
    </w:p>
    <w:p>
      <w:pPr>
        <w:tabs>
          <w:tab w:val="left" w:pos="720"/>
          <w:tab w:val="left" w:pos="1440"/>
          <w:tab w:val="left" w:pos="2160"/>
        </w:tabs>
        <w:snapToGrid w:val="0"/>
        <w:ind w:left="720" w:hanging="720"/>
        <w:rPr>
          <w:rFonts w:ascii="宋体" w:hAnsi="宋体" w:eastAsia="宋体" w:cs="Times New Roman"/>
          <w:b/>
          <w:szCs w:val="21"/>
        </w:rPr>
      </w:pPr>
    </w:p>
    <w:p>
      <w:pPr>
        <w:pStyle w:val="10"/>
        <w:jc w:val="center"/>
        <w:outlineLvl w:val="3"/>
        <w:rPr>
          <w:rFonts w:ascii="Times New Roman" w:hAnsi="Times New Roman" w:eastAsia="黑体" w:cs="Times New Roman"/>
          <w:bCs/>
        </w:rPr>
      </w:pPr>
      <w:bookmarkStart w:id="14" w:name="_Toc12262"/>
      <w:r>
        <w:rPr>
          <w:rFonts w:hint="eastAsia" w:ascii="Times New Roman" w:hAnsi="Times New Roman" w:eastAsia="黑体" w:cs="Times New Roman"/>
          <w:bCs/>
        </w:rPr>
        <w:t>第</w:t>
      </w:r>
      <w:r>
        <w:rPr>
          <w:rFonts w:ascii="Times New Roman" w:hAnsi="Times New Roman" w:eastAsia="黑体" w:cs="Times New Roman"/>
          <w:bCs/>
        </w:rPr>
        <w:t>9</w:t>
      </w:r>
      <w:r>
        <w:rPr>
          <w:rFonts w:hint="eastAsia" w:ascii="Times New Roman" w:hAnsi="Times New Roman" w:eastAsia="黑体" w:cs="Times New Roman"/>
          <w:bCs/>
        </w:rPr>
        <w:t>条　证书格式</w:t>
      </w:r>
      <w:bookmarkEnd w:id="14"/>
    </w:p>
    <w:p>
      <w:pPr>
        <w:tabs>
          <w:tab w:val="left" w:pos="720"/>
          <w:tab w:val="left" w:pos="1440"/>
          <w:tab w:val="left" w:pos="2160"/>
        </w:tabs>
        <w:snapToGrid w:val="0"/>
        <w:rPr>
          <w:rFonts w:ascii="宋体" w:hAnsi="宋体" w:eastAsia="宋体" w:cs="Times New Roman"/>
          <w:szCs w:val="21"/>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自2022年11月1日起，新增2如下：</w:t>
      </w:r>
    </w:p>
    <w:p>
      <w:pPr>
        <w:tabs>
          <w:tab w:val="left" w:pos="720"/>
          <w:tab w:val="left" w:pos="1440"/>
          <w:tab w:val="left" w:pos="2160"/>
        </w:tabs>
        <w:snapToGrid w:val="0"/>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color w:val="FF0000"/>
          <w:szCs w:val="21"/>
          <w:u w:val="single"/>
        </w:rPr>
        <w:t>2</w:t>
      </w:r>
      <w:r>
        <w:rPr>
          <w:rFonts w:hint="eastAsia" w:ascii="宋体" w:hAnsi="宋体" w:eastAsia="宋体" w:cs="Times New Roman"/>
          <w:color w:val="FF0000"/>
          <w:szCs w:val="21"/>
          <w:u w:val="single"/>
        </w:rPr>
        <w:t xml:space="preserve"> 《国际</w:t>
      </w:r>
      <w:r>
        <w:rPr>
          <w:rFonts w:hint="eastAsia" w:ascii="Times New Roman" w:hAnsi="Times New Roman" w:eastAsia="宋体" w:cs="Times New Roman"/>
          <w:color w:val="FF0000"/>
          <w:szCs w:val="21"/>
          <w:u w:val="single"/>
        </w:rPr>
        <w:t>无人非自航</w:t>
      </w:r>
      <w:r>
        <w:rPr>
          <w:rFonts w:ascii="Times New Roman" w:hAnsi="Times New Roman" w:eastAsia="宋体" w:cs="Times New Roman"/>
          <w:color w:val="FF0000"/>
          <w:szCs w:val="21"/>
          <w:u w:val="single"/>
        </w:rPr>
        <w:t>(UNSP)</w:t>
      </w:r>
      <w:r>
        <w:rPr>
          <w:rFonts w:hint="eastAsia" w:ascii="Times New Roman" w:hAnsi="Times New Roman" w:eastAsia="宋体" w:cs="Times New Roman"/>
          <w:color w:val="FF0000"/>
          <w:szCs w:val="21"/>
          <w:u w:val="single"/>
        </w:rPr>
        <w:t>驳船防止油污免除证书</w:t>
      </w:r>
      <w:r>
        <w:rPr>
          <w:rFonts w:hint="eastAsia" w:ascii="宋体" w:hAnsi="宋体" w:eastAsia="宋体" w:cs="Times New Roman"/>
          <w:color w:val="FF0000"/>
          <w:szCs w:val="21"/>
          <w:u w:val="single"/>
        </w:rPr>
        <w:t>》</w:t>
      </w:r>
      <w:r>
        <w:rPr>
          <w:rFonts w:hint="eastAsia" w:ascii="Times New Roman" w:hAnsi="Times New Roman" w:eastAsia="宋体" w:cs="Times New Roman"/>
          <w:color w:val="FF0000"/>
          <w:szCs w:val="21"/>
          <w:u w:val="single"/>
        </w:rPr>
        <w:t>应按与本附则附录</w:t>
      </w:r>
      <w:r>
        <w:rPr>
          <w:rFonts w:ascii="Times New Roman" w:hAnsi="Times New Roman" w:eastAsia="宋体" w:cs="Times New Roman"/>
          <w:color w:val="FF0000"/>
          <w:szCs w:val="21"/>
          <w:u w:val="single"/>
        </w:rPr>
        <w:t>IV</w:t>
      </w:r>
      <w:r>
        <w:rPr>
          <w:rFonts w:hint="eastAsia" w:ascii="Times New Roman" w:hAnsi="Times New Roman" w:eastAsia="宋体" w:cs="Times New Roman"/>
          <w:color w:val="FF0000"/>
          <w:szCs w:val="21"/>
          <w:u w:val="single"/>
        </w:rPr>
        <w:t>所示样本相一致的格式写成，并应至少为英文、法文或西班牙文。若同时使用发证国的官方文字，则在遇有争议或不相一致的情况时，应以发证国官方文字记录为准。</w:t>
      </w:r>
      <w:r>
        <w:rPr>
          <w:rFonts w:hint="eastAsia" w:ascii="Times New Roman" w:hAnsi="Times New Roman" w:eastAsia="宋体" w:cs="Times New Roman"/>
          <w:szCs w:val="21"/>
        </w:rPr>
        <w:t>”</w:t>
      </w:r>
    </w:p>
    <w:p>
      <w:pPr>
        <w:tabs>
          <w:tab w:val="left" w:pos="720"/>
          <w:tab w:val="left" w:pos="1440"/>
          <w:tab w:val="left" w:pos="2160"/>
        </w:tabs>
        <w:snapToGrid w:val="0"/>
        <w:ind w:firstLine="420" w:firstLineChars="200"/>
        <w:rPr>
          <w:rFonts w:ascii="Times New Roman" w:hAnsi="Times New Roman" w:eastAsia="宋体" w:cs="Times New Roman"/>
          <w:szCs w:val="21"/>
        </w:rPr>
      </w:pPr>
    </w:p>
    <w:p>
      <w:pPr>
        <w:tabs>
          <w:tab w:val="left" w:pos="720"/>
          <w:tab w:val="left" w:pos="1440"/>
          <w:tab w:val="left" w:pos="2160"/>
        </w:tabs>
        <w:snapToGrid w:val="0"/>
        <w:jc w:val="center"/>
        <w:rPr>
          <w:rFonts w:ascii="宋体" w:hAnsi="宋体" w:eastAsia="宋体" w:cs="Times New Roman"/>
          <w:b/>
          <w:bCs/>
          <w:sz w:val="28"/>
          <w:szCs w:val="28"/>
        </w:rPr>
      </w:pPr>
    </w:p>
    <w:p>
      <w:pPr>
        <w:pStyle w:val="36"/>
        <w:rPr>
          <w:rFonts w:hint="default" w:ascii="Times New Roman" w:hAnsi="Times New Roman"/>
        </w:rPr>
      </w:pPr>
      <w:bookmarkStart w:id="15" w:name="_Toc94175429"/>
      <w:bookmarkStart w:id="16" w:name="_Toc1342"/>
      <w:r>
        <w:rPr>
          <w:rFonts w:ascii="宋体" w:hAnsi="宋体" w:eastAsia="宋体" w:cs="宋体"/>
        </w:rPr>
        <w:t xml:space="preserve">Ⅲ  </w:t>
      </w:r>
      <w:r>
        <w:rPr>
          <w:rFonts w:ascii="Times New Roman" w:hAnsi="Times New Roman"/>
        </w:rPr>
        <w:t>对所有船舶机器处所的要求</w:t>
      </w:r>
      <w:bookmarkEnd w:id="15"/>
      <w:bookmarkEnd w:id="16"/>
    </w:p>
    <w:p>
      <w:pPr>
        <w:pStyle w:val="36"/>
        <w:outlineLvl w:val="9"/>
        <w:rPr>
          <w:rFonts w:hint="default" w:ascii="Times New Roman" w:hAnsi="Times New Roman"/>
        </w:rPr>
      </w:pPr>
    </w:p>
    <w:p>
      <w:pPr>
        <w:pStyle w:val="36"/>
        <w:outlineLvl w:val="9"/>
        <w:rPr>
          <w:rFonts w:hint="default" w:ascii="Times New Roman" w:hAnsi="Times New Roman"/>
        </w:rPr>
      </w:pPr>
      <w:bookmarkStart w:id="17" w:name="_Toc24846"/>
      <w:bookmarkStart w:id="18" w:name="_Toc94175430"/>
      <w:r>
        <w:rPr>
          <w:rFonts w:ascii="Times New Roman" w:hAnsi="Times New Roman"/>
        </w:rPr>
        <w:t>A部分  结    构</w:t>
      </w:r>
      <w:bookmarkEnd w:id="17"/>
      <w:bookmarkEnd w:id="18"/>
    </w:p>
    <w:p>
      <w:pPr>
        <w:pStyle w:val="36"/>
        <w:outlineLvl w:val="9"/>
        <w:rPr>
          <w:rFonts w:hint="default" w:ascii="Times New Roman" w:hAnsi="Times New Roman"/>
        </w:rPr>
      </w:pPr>
    </w:p>
    <w:p>
      <w:pPr>
        <w:pStyle w:val="10"/>
        <w:jc w:val="center"/>
        <w:outlineLvl w:val="3"/>
        <w:rPr>
          <w:rFonts w:ascii="Times New Roman" w:hAnsi="Times New Roman" w:eastAsia="黑体" w:cs="Times New Roman"/>
          <w:bCs/>
        </w:rPr>
      </w:pPr>
      <w:bookmarkStart w:id="19" w:name="_Toc8706"/>
      <w:r>
        <w:rPr>
          <w:rFonts w:ascii="Times New Roman" w:hAnsi="Times New Roman" w:eastAsia="黑体" w:cs="Times New Roman"/>
          <w:bCs/>
        </w:rPr>
        <w:t>第12A条</w:t>
      </w:r>
      <w:r>
        <w:rPr>
          <w:rFonts w:hint="eastAsia" w:ascii="Times New Roman" w:hAnsi="Times New Roman" w:eastAsia="黑体" w:cs="Times New Roman"/>
          <w:bCs/>
        </w:rPr>
        <w:t xml:space="preserve">  </w:t>
      </w:r>
      <w:r>
        <w:rPr>
          <w:rFonts w:ascii="Times New Roman" w:hAnsi="Times New Roman" w:eastAsia="黑体" w:cs="Times New Roman"/>
          <w:bCs/>
        </w:rPr>
        <w:t>燃油舱保护</w:t>
      </w:r>
      <w:bookmarkEnd w:id="19"/>
    </w:p>
    <w:p>
      <w:pPr>
        <w:tabs>
          <w:tab w:val="left" w:pos="426"/>
        </w:tabs>
        <w:adjustRightInd w:val="0"/>
        <w:snapToGrid w:val="0"/>
        <w:ind w:left="840" w:hanging="840" w:hangingChars="350"/>
        <w:rPr>
          <w:rFonts w:ascii="Times New Roman" w:hAnsi="Times New Roman" w:eastAsia="宋体" w:cs="Times New Roman"/>
          <w:sz w:val="24"/>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 11.6.7 改为：</w:t>
      </w:r>
    </w:p>
    <w:p>
      <w:pPr>
        <w:autoSpaceDE w:val="0"/>
        <w:autoSpaceDN w:val="0"/>
        <w:adjustRightInd w:val="0"/>
        <w:snapToGrid w:val="0"/>
        <w:ind w:firstLine="420" w:firstLineChars="200"/>
        <w:rPr>
          <w:rFonts w:ascii="Times New Roman" w:hAnsi="TimesNewRoman" w:eastAsia="宋体" w:cs="Times New Roman"/>
          <w:kern w:val="0"/>
          <w:szCs w:val="21"/>
        </w:rPr>
      </w:pPr>
      <w:r>
        <w:rPr>
          <w:rFonts w:hint="eastAsia" w:ascii="Times New Roman" w:hAnsi="Times New Roman" w:eastAsia="宋体" w:cs="Times New Roman"/>
          <w:szCs w:val="21"/>
        </w:rPr>
        <w:t>“.7　</w:t>
      </w:r>
      <w:r>
        <w:rPr>
          <w:rFonts w:hint="eastAsia" w:ascii="Times New Roman" w:hAnsi="Times New Roman" w:eastAsia="宋体" w:cs="Times New Roman"/>
          <w:strike/>
          <w:color w:val="FF0000"/>
          <w:szCs w:val="21"/>
        </w:rPr>
        <w:t>船侧</w:t>
      </w:r>
      <w:r>
        <w:rPr>
          <w:rFonts w:hint="eastAsia" w:ascii="Times New Roman" w:hAnsi="Times New Roman" w:eastAsia="宋体" w:cs="Times New Roman"/>
          <w:color w:val="FF0000"/>
          <w:szCs w:val="21"/>
          <w:u w:val="single"/>
        </w:rPr>
        <w:t>底部</w:t>
      </w:r>
      <w:r>
        <w:rPr>
          <w:rFonts w:hint="eastAsia" w:ascii="Times New Roman" w:hAnsi="Times New Roman" w:eastAsia="宋体" w:cs="Times New Roman"/>
          <w:szCs w:val="21"/>
        </w:rPr>
        <w:t>破损导致的舱室损坏的概率P</w:t>
      </w:r>
      <w:r>
        <w:rPr>
          <w:rFonts w:hint="eastAsia" w:ascii="Times New Roman" w:hAnsi="Times New Roman" w:eastAsia="宋体" w:cs="Times New Roman"/>
          <w:szCs w:val="21"/>
          <w:vertAlign w:val="subscript"/>
        </w:rPr>
        <w:t>B</w:t>
      </w:r>
      <w:r>
        <w:rPr>
          <w:rFonts w:hint="eastAsia" w:ascii="Times New Roman" w:hAnsi="Times New Roman" w:eastAsia="宋体" w:cs="Times New Roman"/>
          <w:szCs w:val="21"/>
        </w:rPr>
        <w:t>应按下式计算：</w:t>
      </w:r>
      <w:r>
        <w:rPr>
          <w:rFonts w:hint="eastAsia" w:ascii="Times New Roman" w:hAnsi="TimesNewRoman" w:eastAsia="宋体" w:cs="Times New Roman"/>
          <w:kern w:val="0"/>
          <w:szCs w:val="21"/>
        </w:rPr>
        <w:t>”</w:t>
      </w:r>
      <w:bookmarkStart w:id="20" w:name="_Toc94175432"/>
    </w:p>
    <w:p>
      <w:pPr>
        <w:autoSpaceDE w:val="0"/>
        <w:autoSpaceDN w:val="0"/>
        <w:adjustRightInd w:val="0"/>
        <w:snapToGrid w:val="0"/>
        <w:ind w:firstLine="560" w:firstLineChars="200"/>
        <w:jc w:val="center"/>
        <w:rPr>
          <w:rFonts w:ascii="Times New Roman" w:hAnsi="TimesNewRoman" w:eastAsia="宋体" w:cs="Times New Roman"/>
          <w:kern w:val="0"/>
          <w:sz w:val="28"/>
          <w:szCs w:val="28"/>
        </w:rPr>
      </w:pPr>
    </w:p>
    <w:p>
      <w:pPr>
        <w:autoSpaceDE w:val="0"/>
        <w:autoSpaceDN w:val="0"/>
        <w:adjustRightInd w:val="0"/>
        <w:snapToGrid w:val="0"/>
        <w:ind w:firstLine="560" w:firstLineChars="200"/>
        <w:jc w:val="center"/>
        <w:rPr>
          <w:rFonts w:ascii="Times New Roman" w:hAnsi="TimesNewRoman" w:eastAsia="宋体" w:cs="Times New Roman"/>
          <w:kern w:val="0"/>
          <w:sz w:val="28"/>
          <w:szCs w:val="28"/>
        </w:rPr>
      </w:pPr>
    </w:p>
    <w:p>
      <w:pPr>
        <w:pStyle w:val="36"/>
        <w:rPr>
          <w:rFonts w:hint="default" w:ascii="Times New Roman" w:hAnsi="Times New Roman"/>
        </w:rPr>
      </w:pPr>
      <w:bookmarkStart w:id="21" w:name="_Toc27179"/>
      <w:r>
        <w:rPr>
          <w:rFonts w:ascii="Times New Roman" w:hAnsi="Times New Roman"/>
        </w:rPr>
        <w:t>C部分  操作性排油的控制</w:t>
      </w:r>
      <w:bookmarkEnd w:id="20"/>
      <w:bookmarkEnd w:id="21"/>
    </w:p>
    <w:p>
      <w:pPr>
        <w:pStyle w:val="36"/>
        <w:outlineLvl w:val="9"/>
        <w:rPr>
          <w:rFonts w:hint="default" w:ascii="Times New Roman" w:hAnsi="Times New Roman"/>
        </w:rPr>
      </w:pPr>
    </w:p>
    <w:p>
      <w:pPr>
        <w:pStyle w:val="10"/>
        <w:jc w:val="center"/>
        <w:outlineLvl w:val="3"/>
        <w:rPr>
          <w:rFonts w:ascii="Times New Roman" w:hAnsi="Times New Roman" w:eastAsia="黑体" w:cs="Times New Roman"/>
          <w:bCs/>
        </w:rPr>
      </w:pPr>
      <w:bookmarkStart w:id="22" w:name="_Toc6166"/>
      <w:r>
        <w:rPr>
          <w:rFonts w:hint="eastAsia" w:ascii="Times New Roman" w:hAnsi="Times New Roman" w:eastAsia="黑体" w:cs="Times New Roman"/>
          <w:bCs/>
        </w:rPr>
        <w:t>第17条　《油类记录簿》第I部分 - 机器处所的作业</w:t>
      </w:r>
      <w:bookmarkEnd w:id="22"/>
    </w:p>
    <w:p>
      <w:pPr>
        <w:snapToGrid w:val="0"/>
        <w:rPr>
          <w:rFonts w:ascii="Times New Roman" w:hAnsi="Times New Roman" w:eastAsia="宋体" w:cs="Times New Roman"/>
          <w:szCs w:val="21"/>
        </w:rPr>
      </w:pPr>
    </w:p>
    <w:p>
      <w:pPr>
        <w:widowControl/>
        <w:ind w:firstLine="420" w:firstLineChars="200"/>
        <w:rPr>
          <w:rFonts w:ascii="楷体" w:hAnsi="楷体" w:eastAsia="楷体"/>
          <w:caps/>
          <w:kern w:val="32"/>
          <w:szCs w:val="21"/>
        </w:rPr>
      </w:pPr>
      <w:r>
        <w:rPr>
          <w:rFonts w:ascii="楷体" w:hAnsi="楷体" w:eastAsia="楷体"/>
          <w:caps/>
          <w:kern w:val="32"/>
          <w:szCs w:val="21"/>
        </w:rPr>
        <w:t>原 1</w:t>
      </w:r>
      <w:r>
        <w:rPr>
          <w:rFonts w:hint="eastAsia" w:ascii="楷体" w:hAnsi="楷体" w:eastAsia="楷体"/>
          <w:caps/>
          <w:kern w:val="32"/>
          <w:szCs w:val="21"/>
        </w:rPr>
        <w:t xml:space="preserve"> 改为：</w:t>
      </w:r>
    </w:p>
    <w:p>
      <w:pPr>
        <w:snapToGrid w:val="0"/>
        <w:ind w:firstLine="420" w:firstLineChars="200"/>
        <w:rPr>
          <w:rFonts w:ascii="Times New Roman" w:hAnsi="Times New Roman" w:eastAsia="宋体" w:cs="Times New Roman"/>
          <w:szCs w:val="21"/>
        </w:rPr>
      </w:pPr>
      <w:r>
        <w:rPr>
          <w:rFonts w:hint="eastAsia" w:ascii="宋体" w:hAnsi="宋体" w:eastAsia="宋体" w:cs="Times New Roman"/>
          <w:szCs w:val="21"/>
        </w:rPr>
        <w:t>“</w:t>
      </w:r>
      <w:r>
        <w:rPr>
          <w:rFonts w:ascii="Times New Roman" w:hAnsi="Times New Roman" w:eastAsia="宋体" w:cs="Times New Roman"/>
          <w:szCs w:val="21"/>
        </w:rPr>
        <w:t>1　凡150总吨及以上的油船，以及除油船以外的400总</w:t>
      </w:r>
      <w:r>
        <w:rPr>
          <w:rFonts w:hint="eastAsia" w:ascii="宋体" w:hAnsi="宋体" w:eastAsia="宋体" w:cs="Times New Roman"/>
          <w:szCs w:val="21"/>
        </w:rPr>
        <w:t>吨及以上的船舶，应备有《油类记录簿》第Ⅰ部分（机器处所的作业）。</w:t>
      </w:r>
      <w:r>
        <w:rPr>
          <w:rFonts w:hint="eastAsia" w:ascii="宋体" w:hAnsi="宋体" w:eastAsia="宋体" w:cs="Times New Roman"/>
          <w:strike/>
          <w:color w:val="FF0000"/>
          <w:szCs w:val="21"/>
        </w:rPr>
        <w:t>这种油类记录簿不论是作为船上的正式航海日志的一部分或作为其他文件，均应按本附则附录Ⅲ中所规定的格式。</w:t>
      </w:r>
      <w:r>
        <w:rPr>
          <w:rFonts w:hint="eastAsia" w:ascii="宋体" w:hAnsi="宋体" w:eastAsia="宋体" w:cs="Times New Roman"/>
          <w:color w:val="FF0000"/>
          <w:szCs w:val="21"/>
          <w:u w:val="single"/>
        </w:rPr>
        <w:t>这种</w:t>
      </w:r>
      <w:r>
        <w:rPr>
          <w:rFonts w:hint="eastAsia" w:ascii="Times New Roman" w:hAnsi="Times New Roman" w:eastAsia="宋体" w:cs="Times New Roman"/>
          <w:color w:val="FF0000"/>
          <w:szCs w:val="21"/>
          <w:u w:val="single"/>
        </w:rPr>
        <w:t>《油类记录簿》不论是作为船上的正式航海日志的一部分，还是作为应经主管机关考虑本组织制定的指南</w:t>
      </w:r>
      <w:r>
        <w:rPr>
          <w:rStyle w:val="33"/>
          <w:rFonts w:hint="eastAsia" w:ascii="Times New Roman" w:hAnsi="Times New Roman" w:eastAsia="宋体" w:cs="Times New Roman"/>
          <w:color w:val="FF0000"/>
          <w:szCs w:val="21"/>
          <w:u w:val="single"/>
        </w:rPr>
        <w:footnoteReference w:id="1"/>
      </w:r>
      <w:r>
        <w:rPr>
          <w:rFonts w:hint="eastAsia" w:ascii="Times New Roman" w:hAnsi="Times New Roman" w:eastAsia="宋体" w:cs="Times New Roman"/>
          <w:color w:val="FF0000"/>
          <w:szCs w:val="21"/>
          <w:u w:val="single"/>
        </w:rPr>
        <w:t>予以批准的电子记录簿，或作为其他文件，均应按本附则附录III中所规定的格式。</w:t>
      </w:r>
      <w:r>
        <w:rPr>
          <w:rFonts w:hint="eastAsia" w:ascii="Times New Roman" w:hAnsi="Times New Roman" w:eastAsia="宋体" w:cs="Times New Roman"/>
          <w:szCs w:val="21"/>
        </w:rPr>
        <w:t>”</w:t>
      </w:r>
    </w:p>
    <w:p>
      <w:pPr>
        <w:snapToGrid w:val="0"/>
        <w:ind w:firstLine="420" w:firstLineChars="200"/>
        <w:rPr>
          <w:rFonts w:ascii="楷体" w:hAnsi="楷体" w:eastAsia="楷体" w:cs="楷体"/>
          <w:snapToGrid w:val="0"/>
          <w:color w:val="0000FF"/>
          <w:kern w:val="0"/>
          <w:szCs w:val="21"/>
          <w:u w:val="single"/>
        </w:rPr>
      </w:pPr>
    </w:p>
    <w:p>
      <w:pPr>
        <w:widowControl/>
        <w:ind w:firstLine="420" w:firstLineChars="200"/>
        <w:rPr>
          <w:rFonts w:ascii="楷体" w:hAnsi="楷体" w:eastAsia="楷体"/>
          <w:caps/>
          <w:kern w:val="32"/>
          <w:szCs w:val="21"/>
        </w:rPr>
      </w:pPr>
      <w:r>
        <w:rPr>
          <w:rFonts w:ascii="楷体" w:hAnsi="楷体" w:eastAsia="楷体"/>
          <w:caps/>
          <w:kern w:val="32"/>
          <w:szCs w:val="21"/>
        </w:rPr>
        <w:t>原 4 改为：</w:t>
      </w:r>
    </w:p>
    <w:p>
      <w:pPr>
        <w:snapToGrid w:val="0"/>
        <w:ind w:firstLine="420"/>
        <w:rPr>
          <w:rFonts w:ascii="宋体" w:hAnsi="宋体" w:eastAsia="宋体" w:cs="Times New Roman"/>
          <w:szCs w:val="21"/>
        </w:rPr>
      </w:pPr>
      <w:r>
        <w:rPr>
          <w:rFonts w:ascii="Times New Roman" w:hAnsi="Times New Roman" w:eastAsia="宋体" w:cs="Times New Roman"/>
          <w:szCs w:val="21"/>
        </w:rPr>
        <w:t>“4　应及时将本条2中所述的每项作业详细地记入《油类记录簿》第I部分，以使与该项作业相应的所有项目均有记录，每项完成的作业，应由高级船员或有关作业的负责人签字，且每写完一页</w:t>
      </w:r>
      <w:r>
        <w:rPr>
          <w:rFonts w:ascii="Times New Roman" w:hAnsi="Times New Roman" w:eastAsia="宋体" w:cs="Times New Roman"/>
          <w:color w:val="FF0000"/>
          <w:szCs w:val="21"/>
          <w:u w:val="single"/>
        </w:rPr>
        <w:t>或一组电子记录</w:t>
      </w:r>
      <w:r>
        <w:rPr>
          <w:rFonts w:ascii="Times New Roman" w:hAnsi="Times New Roman" w:eastAsia="宋体" w:cs="Times New Roman"/>
          <w:szCs w:val="21"/>
        </w:rPr>
        <w:t>应由船长签字。《油类记录簿》第I部分中的记录，对于持有《国际防止油污证书》的船舶，则至少应为英文、法文或西班牙文。若同时使用船旗国的官方文字作记录，则在遇有争议或不相</w:t>
      </w:r>
      <w:r>
        <w:rPr>
          <w:rFonts w:hint="eastAsia" w:ascii="宋体" w:hAnsi="宋体" w:eastAsia="宋体" w:cs="Times New Roman"/>
          <w:szCs w:val="21"/>
        </w:rPr>
        <w:t>一致的情况时，应以该官方文字记录为准。”</w:t>
      </w:r>
    </w:p>
    <w:p>
      <w:pPr>
        <w:snapToGrid w:val="0"/>
        <w:ind w:firstLine="420"/>
        <w:rPr>
          <w:rFonts w:ascii="宋体" w:hAnsi="宋体" w:eastAsia="宋体" w:cs="Times New Roman"/>
          <w:szCs w:val="21"/>
        </w:rPr>
      </w:pPr>
    </w:p>
    <w:p>
      <w:pPr>
        <w:tabs>
          <w:tab w:val="left" w:pos="240"/>
        </w:tabs>
        <w:snapToGrid w:val="0"/>
        <w:jc w:val="center"/>
        <w:rPr>
          <w:rFonts w:ascii="宋体" w:hAnsi="宋体" w:eastAsia="宋体" w:cs="Times New Roman"/>
          <w:b/>
          <w:bCs/>
          <w:szCs w:val="21"/>
        </w:rPr>
      </w:pPr>
    </w:p>
    <w:p>
      <w:pPr>
        <w:tabs>
          <w:tab w:val="left" w:pos="240"/>
        </w:tabs>
        <w:snapToGrid w:val="0"/>
        <w:jc w:val="center"/>
        <w:rPr>
          <w:rFonts w:ascii="宋体" w:hAnsi="宋体" w:eastAsia="宋体" w:cs="Times New Roman"/>
          <w:b/>
          <w:bCs/>
          <w:sz w:val="28"/>
          <w:szCs w:val="28"/>
        </w:rPr>
      </w:pPr>
    </w:p>
    <w:p>
      <w:pPr>
        <w:pStyle w:val="36"/>
        <w:rPr>
          <w:rFonts w:hint="default" w:ascii="Times New Roman" w:hAnsi="Times New Roman"/>
        </w:rPr>
      </w:pPr>
      <w:bookmarkStart w:id="23" w:name="_Toc17617"/>
      <w:bookmarkStart w:id="24" w:name="_Toc94175433"/>
      <w:r>
        <w:rPr>
          <w:rFonts w:ascii="Times New Roman" w:hAnsi="Times New Roman"/>
        </w:rPr>
        <w:t>IV  对油船货物区域的要求</w:t>
      </w:r>
      <w:bookmarkEnd w:id="23"/>
      <w:bookmarkEnd w:id="24"/>
    </w:p>
    <w:p>
      <w:pPr>
        <w:pStyle w:val="36"/>
        <w:outlineLvl w:val="9"/>
        <w:rPr>
          <w:rFonts w:hint="default" w:ascii="Times New Roman" w:hAnsi="Times New Roman"/>
        </w:rPr>
      </w:pPr>
    </w:p>
    <w:p>
      <w:pPr>
        <w:pStyle w:val="36"/>
        <w:rPr>
          <w:rFonts w:hint="default" w:ascii="Times New Roman" w:hAnsi="Times New Roman"/>
        </w:rPr>
      </w:pPr>
      <w:bookmarkStart w:id="25" w:name="_Toc32285"/>
      <w:bookmarkStart w:id="26" w:name="_Toc94175436"/>
      <w:r>
        <w:rPr>
          <w:rFonts w:ascii="Times New Roman" w:hAnsi="Times New Roman"/>
        </w:rPr>
        <w:t>C部分  操作性排油的控制</w:t>
      </w:r>
      <w:bookmarkEnd w:id="25"/>
      <w:bookmarkEnd w:id="26"/>
    </w:p>
    <w:p>
      <w:pPr>
        <w:pStyle w:val="36"/>
        <w:outlineLvl w:val="9"/>
        <w:rPr>
          <w:rFonts w:hint="default" w:ascii="Times New Roman" w:hAnsi="Times New Roman"/>
        </w:rPr>
      </w:pPr>
    </w:p>
    <w:p>
      <w:pPr>
        <w:pStyle w:val="10"/>
        <w:jc w:val="center"/>
        <w:outlineLvl w:val="3"/>
        <w:rPr>
          <w:rFonts w:ascii="Times New Roman" w:hAnsi="Times New Roman" w:eastAsia="黑体" w:cs="Times New Roman"/>
          <w:bCs/>
        </w:rPr>
      </w:pPr>
      <w:bookmarkStart w:id="27" w:name="_Toc10997"/>
      <w:r>
        <w:rPr>
          <w:rFonts w:hint="eastAsia" w:ascii="Times New Roman" w:hAnsi="Times New Roman" w:eastAsia="黑体" w:cs="Times New Roman"/>
          <w:bCs/>
        </w:rPr>
        <w:t xml:space="preserve">第36条  《油类记录薄》第II部分 </w:t>
      </w:r>
      <w:r>
        <w:rPr>
          <w:rFonts w:ascii="Times New Roman" w:hAnsi="Times New Roman" w:eastAsia="黑体" w:cs="Times New Roman"/>
          <w:bCs/>
        </w:rPr>
        <w:t>–</w:t>
      </w:r>
      <w:r>
        <w:rPr>
          <w:rFonts w:hint="eastAsia" w:ascii="Times New Roman" w:hAnsi="Times New Roman" w:eastAsia="黑体" w:cs="Times New Roman"/>
          <w:bCs/>
        </w:rPr>
        <w:t xml:space="preserve"> 货油/压载作业</w:t>
      </w:r>
      <w:bookmarkEnd w:id="27"/>
    </w:p>
    <w:p>
      <w:pPr>
        <w:widowControl/>
        <w:ind w:firstLine="420" w:firstLineChars="200"/>
        <w:rPr>
          <w:rFonts w:ascii="楷体" w:hAnsi="楷体" w:eastAsia="楷体"/>
          <w:caps/>
          <w:kern w:val="32"/>
          <w:szCs w:val="21"/>
        </w:rPr>
      </w:pPr>
    </w:p>
    <w:p>
      <w:pPr>
        <w:widowControl/>
        <w:ind w:firstLine="420" w:firstLineChars="200"/>
        <w:rPr>
          <w:rFonts w:ascii="楷体" w:hAnsi="楷体" w:eastAsia="楷体"/>
          <w:caps/>
          <w:kern w:val="32"/>
          <w:szCs w:val="21"/>
        </w:rPr>
      </w:pPr>
      <w:r>
        <w:rPr>
          <w:rFonts w:ascii="楷体" w:hAnsi="楷体" w:eastAsia="楷体"/>
          <w:caps/>
          <w:kern w:val="32"/>
          <w:szCs w:val="21"/>
        </w:rPr>
        <w:t>原 1 改为：</w:t>
      </w:r>
    </w:p>
    <w:p>
      <w:pPr>
        <w:ind w:firstLine="420" w:firstLineChars="200"/>
        <w:rPr>
          <w:rFonts w:ascii="Times New Roman" w:hAnsi="Times New Roman" w:eastAsia="宋体" w:cs="Times New Roman"/>
          <w:color w:val="FF0000"/>
          <w:szCs w:val="21"/>
          <w:u w:val="single"/>
        </w:rPr>
      </w:pPr>
      <w:r>
        <w:rPr>
          <w:rFonts w:ascii="Times New Roman" w:hAnsi="Times New Roman" w:eastAsia="宋体" w:cs="Times New Roman"/>
          <w:szCs w:val="21"/>
          <w:lang w:bidi="ar"/>
        </w:rPr>
        <w:t>“1　凡150总吨及以上的油船，应备有《油类记录簿》第II部分（货油/压载的作业）。</w:t>
      </w:r>
      <w:r>
        <w:rPr>
          <w:rFonts w:ascii="Times New Roman" w:hAnsi="Times New Roman" w:eastAsia="宋体" w:cs="Times New Roman"/>
          <w:strike/>
          <w:color w:val="FF0000"/>
          <w:szCs w:val="21"/>
        </w:rPr>
        <w:t>这种油类记录簿不论是作为船上的正式航海日志的一部分或作为其他文件，均应按本附则附录Ⅲ中所规定的格式。</w:t>
      </w:r>
      <w:r>
        <w:rPr>
          <w:rFonts w:ascii="Times New Roman" w:hAnsi="Times New Roman" w:eastAsia="宋体" w:cs="Times New Roman"/>
          <w:color w:val="FF0000"/>
          <w:szCs w:val="21"/>
          <w:u w:val="single"/>
        </w:rPr>
        <w:t>这种《油类记录簿》不论是作为船上的正式航海日志的一部分，还是作为应经主管机关考虑本组织制定的指南</w:t>
      </w:r>
      <w:r>
        <w:rPr>
          <w:rFonts w:hint="eastAsia" w:ascii="Times New Roman" w:hAnsi="Times New Roman" w:eastAsia="宋体" w:cs="Times New Roman"/>
          <w:color w:val="FF0000"/>
          <w:szCs w:val="21"/>
          <w:u w:val="single"/>
          <w:vertAlign w:val="superscript"/>
        </w:rPr>
        <w:t>①</w:t>
      </w:r>
      <w:r>
        <w:rPr>
          <w:rFonts w:ascii="Times New Roman" w:hAnsi="Times New Roman" w:eastAsia="宋体" w:cs="Times New Roman"/>
          <w:color w:val="FF0000"/>
          <w:szCs w:val="21"/>
          <w:u w:val="single"/>
        </w:rPr>
        <w:t>予以批准的电子记录簿，或作为其他文件，均应按本附则附录Ⅲ中所规定的格式。”</w:t>
      </w:r>
    </w:p>
    <w:p>
      <w:pPr>
        <w:ind w:firstLine="420" w:firstLineChars="200"/>
        <w:rPr>
          <w:rFonts w:ascii="Times New Roman" w:hAnsi="Times New Roman" w:eastAsia="宋体" w:cs="Times New Roman"/>
          <w:color w:val="FF0000"/>
          <w:szCs w:val="21"/>
          <w:u w:val="single"/>
        </w:rPr>
      </w:pPr>
    </w:p>
    <w:p>
      <w:pPr>
        <w:widowControl/>
        <w:ind w:firstLine="420" w:firstLineChars="200"/>
        <w:rPr>
          <w:rFonts w:ascii="楷体" w:hAnsi="楷体" w:eastAsia="楷体"/>
          <w:caps/>
          <w:kern w:val="32"/>
          <w:szCs w:val="21"/>
        </w:rPr>
      </w:pPr>
      <w:r>
        <w:rPr>
          <w:rFonts w:ascii="楷体" w:hAnsi="楷体" w:eastAsia="楷体"/>
          <w:caps/>
          <w:kern w:val="32"/>
          <w:szCs w:val="21"/>
        </w:rPr>
        <w:t>原 5 改为：</w:t>
      </w:r>
    </w:p>
    <w:p>
      <w:pPr>
        <w:pStyle w:val="10"/>
        <w:ind w:firstLine="420"/>
        <w:rPr>
          <w:rFonts w:ascii="Times New Roman" w:hAnsi="Times New Roman" w:eastAsia="宋体" w:cs="Times New Roman"/>
          <w:lang w:bidi="ar"/>
        </w:rPr>
      </w:pPr>
      <w:r>
        <w:rPr>
          <w:rFonts w:ascii="Times New Roman" w:hAnsi="Times New Roman" w:eastAsia="宋体" w:cs="Times New Roman"/>
          <w:lang w:bidi="ar"/>
        </w:rPr>
        <w:t>“5　应及时将本条2中所述的每项作业详细地记入《油类记录簿》第II部分，以使与该项作业相应的所有项目均有记录，每项完成的作业，应由高级船员或有关作业的负责人签字，且每写完一页</w:t>
      </w:r>
      <w:r>
        <w:rPr>
          <w:rFonts w:ascii="Times New Roman" w:hAnsi="Times New Roman" w:eastAsia="宋体" w:cs="Times New Roman"/>
          <w:color w:val="FF0000"/>
          <w:u w:val="single"/>
          <w:lang w:bidi="ar"/>
        </w:rPr>
        <w:t>或一组电子记录</w:t>
      </w:r>
      <w:r>
        <w:rPr>
          <w:rFonts w:ascii="Times New Roman" w:hAnsi="Times New Roman" w:eastAsia="宋体" w:cs="Times New Roman"/>
          <w:lang w:bidi="ar"/>
        </w:rPr>
        <w:t>应由船长签字。《油类记录簿》第II部分中的记录，应至少为英文、法文或西班牙文。若同时使用船旗国的官方文字作记录，则在遇有争议或不相一致的情况时，应以船旗国官方文字记录为准。”</w:t>
      </w:r>
    </w:p>
    <w:p>
      <w:pPr>
        <w:pStyle w:val="10"/>
        <w:ind w:firstLine="420"/>
        <w:rPr>
          <w:rFonts w:ascii="Times New Roman" w:hAnsi="Times New Roman" w:eastAsia="宋体" w:cs="Times New Roman"/>
          <w:lang w:bidi="ar"/>
        </w:rPr>
      </w:pPr>
    </w:p>
    <w:p>
      <w:pPr>
        <w:pStyle w:val="10"/>
        <w:ind w:firstLine="420"/>
        <w:rPr>
          <w:rFonts w:ascii="Times New Roman" w:hAnsi="Times New Roman" w:eastAsia="宋体" w:cs="Times New Roman"/>
          <w:lang w:bidi="ar"/>
        </w:rPr>
      </w:pPr>
    </w:p>
    <w:p>
      <w:pPr>
        <w:ind w:firstLine="560" w:firstLineChars="200"/>
        <w:jc w:val="center"/>
        <w:rPr>
          <w:rFonts w:ascii="Times New Roman" w:hAnsi="Times New Roman" w:eastAsia="宋体" w:cs="Times New Roman"/>
          <w:sz w:val="28"/>
          <w:szCs w:val="28"/>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自2022年11月1日起，原</w:t>
      </w:r>
      <w:r>
        <w:rPr>
          <w:rFonts w:ascii="Times New Roman" w:hAnsi="Times New Roman" w:eastAsia="楷体" w:cs="Times New Roman"/>
          <w:caps/>
          <w:kern w:val="32"/>
          <w:szCs w:val="21"/>
        </w:rPr>
        <w:t>IX</w:t>
      </w:r>
      <w:r>
        <w:rPr>
          <w:rFonts w:hint="eastAsia" w:ascii="楷体" w:hAnsi="楷体" w:eastAsia="楷体"/>
          <w:caps/>
          <w:kern w:val="32"/>
          <w:szCs w:val="21"/>
        </w:rPr>
        <w:t>改为：</w:t>
      </w:r>
    </w:p>
    <w:p>
      <w:pPr>
        <w:pStyle w:val="36"/>
        <w:rPr>
          <w:rFonts w:hint="default" w:ascii="Times New Roman" w:hAnsi="Times New Roman" w:eastAsia="宋体"/>
          <w:sz w:val="21"/>
          <w:szCs w:val="20"/>
        </w:rPr>
      </w:pPr>
      <w:bookmarkStart w:id="28" w:name="_Toc94175441"/>
      <w:bookmarkStart w:id="29" w:name="_Toc5289"/>
      <w:r>
        <w:rPr>
          <w:rFonts w:ascii="Times New Roman" w:hAnsi="Times New Roman" w:eastAsia="宋体"/>
          <w:sz w:val="21"/>
          <w:szCs w:val="20"/>
        </w:rPr>
        <w:t>“</w:t>
      </w:r>
      <w:r>
        <w:rPr>
          <w:rFonts w:ascii="Times New Roman" w:hAnsi="Times New Roman"/>
        </w:rPr>
        <w:t>IX  在</w:t>
      </w:r>
      <w:r>
        <w:rPr>
          <w:rFonts w:ascii="Times New Roman" w:hAnsi="Times New Roman"/>
          <w:strike/>
          <w:color w:val="FF0000"/>
        </w:rPr>
        <w:t>南极区域</w:t>
      </w:r>
      <w:r>
        <w:rPr>
          <w:rFonts w:ascii="Times New Roman" w:hAnsi="Times New Roman"/>
          <w:color w:val="FF0000"/>
          <w:u w:val="single"/>
        </w:rPr>
        <w:t>极地水域</w:t>
      </w:r>
      <w:r>
        <w:rPr>
          <w:rFonts w:ascii="Times New Roman" w:hAnsi="Times New Roman"/>
        </w:rPr>
        <w:t>使用或载运油类的特殊要求</w:t>
      </w:r>
      <w:bookmarkEnd w:id="28"/>
      <w:r>
        <w:rPr>
          <w:rFonts w:ascii="Times New Roman" w:hAnsi="Times New Roman" w:eastAsia="宋体"/>
          <w:sz w:val="21"/>
          <w:szCs w:val="20"/>
        </w:rPr>
        <w:t>”</w:t>
      </w:r>
      <w:bookmarkEnd w:id="29"/>
    </w:p>
    <w:p>
      <w:pPr>
        <w:pStyle w:val="36"/>
        <w:outlineLvl w:val="9"/>
        <w:rPr>
          <w:rFonts w:hint="default" w:ascii="Times New Roman" w:hAnsi="Times New Roman"/>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自2022年11月1日起，新增第43A条如下：</w:t>
      </w:r>
    </w:p>
    <w:p>
      <w:pPr>
        <w:pStyle w:val="10"/>
        <w:jc w:val="center"/>
        <w:outlineLvl w:val="3"/>
        <w:rPr>
          <w:rFonts w:ascii="Times New Roman" w:hAnsi="Times New Roman" w:eastAsia="黑体" w:cs="Times New Roman"/>
          <w:bCs/>
          <w:color w:val="FF0000"/>
          <w:u w:val="single"/>
        </w:rPr>
      </w:pPr>
      <w:bookmarkStart w:id="30" w:name="_Toc22408"/>
      <w:r>
        <w:rPr>
          <w:rFonts w:hint="eastAsia" w:hAnsi="宋体" w:eastAsia="宋体" w:cs="宋体"/>
          <w:bCs/>
        </w:rPr>
        <w:t>“</w:t>
      </w:r>
      <w:r>
        <w:rPr>
          <w:rFonts w:ascii="Times New Roman" w:hAnsi="Times New Roman" w:eastAsia="黑体" w:cs="Times New Roman"/>
          <w:bCs/>
          <w:color w:val="FF0000"/>
          <w:u w:val="single"/>
        </w:rPr>
        <w:t>第43A条</w:t>
      </w:r>
      <w:r>
        <w:rPr>
          <w:rFonts w:hint="eastAsia" w:ascii="Times New Roman" w:hAnsi="Times New Roman" w:eastAsia="黑体" w:cs="Times New Roman"/>
          <w:bCs/>
          <w:color w:val="FF0000"/>
          <w:u w:val="single"/>
        </w:rPr>
        <w:t xml:space="preserve">  </w:t>
      </w:r>
      <w:r>
        <w:rPr>
          <w:rFonts w:ascii="Times New Roman" w:hAnsi="Times New Roman" w:eastAsia="黑体" w:cs="Times New Roman"/>
          <w:bCs/>
          <w:color w:val="FF0000"/>
          <w:u w:val="single"/>
        </w:rPr>
        <w:t>在北极水域使用和载运油类作为燃料的特殊要求</w:t>
      </w:r>
      <w:bookmarkEnd w:id="30"/>
    </w:p>
    <w:p>
      <w:pPr>
        <w:pStyle w:val="10"/>
        <w:ind w:firstLine="420"/>
        <w:rPr>
          <w:rFonts w:ascii="Times New Roman" w:hAnsi="Times New Roman" w:eastAsia="宋体" w:cs="Times New Roman"/>
          <w:lang w:bidi="ar"/>
        </w:rPr>
      </w:pPr>
    </w:p>
    <w:p>
      <w:pPr>
        <w:ind w:firstLine="420" w:firstLineChars="200"/>
        <w:rPr>
          <w:rFonts w:ascii="Times New Roman" w:hAnsi="Times New Roman" w:eastAsia="宋体" w:cs="Times New Roman"/>
          <w:szCs w:val="22"/>
        </w:rPr>
      </w:pPr>
      <w:r>
        <w:rPr>
          <w:rFonts w:ascii="Times New Roman" w:hAnsi="Times New Roman" w:eastAsia="宋体" w:cs="Times New Roman"/>
          <w:szCs w:val="22"/>
        </w:rPr>
        <w:t>1  除从事保障船舶安全或搜救作业的船舶，以及专门从事溢油防备和响应的船舶外，2024年7月1日或以后，应禁止船舶在本附则第46.2条规定的北极水域使用和载运本附则第43.1.2条所述油类作为燃料。</w:t>
      </w:r>
    </w:p>
    <w:p>
      <w:pPr>
        <w:ind w:firstLine="420" w:firstLineChars="200"/>
        <w:rPr>
          <w:rFonts w:ascii="Times New Roman" w:hAnsi="Times New Roman" w:eastAsia="宋体" w:cs="Times New Roman"/>
          <w:szCs w:val="22"/>
        </w:rPr>
      </w:pPr>
      <w:r>
        <w:rPr>
          <w:rFonts w:ascii="Times New Roman" w:hAnsi="Times New Roman" w:eastAsia="宋体" w:cs="Times New Roman"/>
          <w:szCs w:val="22"/>
        </w:rPr>
        <w:t>2  尽管有本条1的规定，但对于本附则第12A条或《极地规则》第II-A部分第1章第1.2.1条适用的船舶，2029年7月1日或之后，应禁止此类船舶在本附则第46.2条规定的北极水域使用和载运本附则第43.1.2条所述油类作为燃料。</w:t>
      </w:r>
    </w:p>
    <w:p>
      <w:pPr>
        <w:ind w:firstLine="420" w:firstLineChars="200"/>
        <w:rPr>
          <w:rFonts w:ascii="Times New Roman" w:hAnsi="Times New Roman" w:eastAsia="宋体" w:cs="Times New Roman"/>
          <w:szCs w:val="22"/>
        </w:rPr>
      </w:pPr>
      <w:r>
        <w:rPr>
          <w:rFonts w:ascii="Times New Roman" w:hAnsi="Times New Roman" w:eastAsia="宋体" w:cs="Times New Roman"/>
          <w:szCs w:val="22"/>
        </w:rPr>
        <w:t>3  如之前已使用和载运了本附则第43.1.2条所述油类作为燃料，不要求进行清洁或冲洗舱室或管路。</w:t>
      </w:r>
    </w:p>
    <w:p>
      <w:pPr>
        <w:ind w:firstLine="420" w:firstLineChars="200"/>
        <w:rPr>
          <w:rFonts w:ascii="Times New Roman" w:hAnsi="Times New Roman" w:eastAsia="宋体" w:cs="Times New Roman"/>
          <w:szCs w:val="22"/>
        </w:rPr>
      </w:pPr>
      <w:r>
        <w:rPr>
          <w:rFonts w:ascii="Times New Roman" w:hAnsi="Times New Roman" w:eastAsia="宋体" w:cs="Times New Roman"/>
          <w:szCs w:val="22"/>
        </w:rPr>
        <w:t>4  尽管有本条1和2的规定，北极水域沿岸的MARPOL公约缔约国主管机关可对悬挂其国旗并在其管辖水域内营运的船舶临时免除本条1的要求，免除应基于IMO制定的导则。2029年7月1日或以后，不能依据本条进行免除。</w:t>
      </w:r>
    </w:p>
    <w:p>
      <w:pPr>
        <w:ind w:firstLine="424" w:firstLineChars="202"/>
        <w:rPr>
          <w:rFonts w:ascii="Times New Roman" w:hAnsi="Times New Roman" w:eastAsia="宋体" w:cs="Times New Roman"/>
          <w:szCs w:val="22"/>
        </w:rPr>
      </w:pPr>
      <w:r>
        <w:rPr>
          <w:rFonts w:ascii="Times New Roman" w:hAnsi="Times New Roman" w:eastAsia="宋体" w:cs="Times New Roman"/>
          <w:szCs w:val="22"/>
        </w:rPr>
        <w:t>5  本公约缔约国的主管机关适用本条4时，应向本组织通报免除信息以向其他缔约国周知，供其参考和采取适当行动（如有）。”</w:t>
      </w:r>
    </w:p>
    <w:p>
      <w:pPr>
        <w:ind w:firstLine="424" w:firstLineChars="202"/>
        <w:rPr>
          <w:rFonts w:ascii="Times New Roman" w:hAnsi="Times New Roman" w:eastAsia="宋体" w:cs="Times New Roman"/>
          <w:szCs w:val="22"/>
        </w:rPr>
      </w:pPr>
    </w:p>
    <w:p>
      <w:pPr>
        <w:jc w:val="left"/>
        <w:rPr>
          <w:rFonts w:ascii="宋体" w:hAnsi="宋体" w:eastAsia="宋体" w:cs="Times New Roman"/>
          <w:b/>
          <w:szCs w:val="20"/>
        </w:rPr>
      </w:pPr>
    </w:p>
    <w:p>
      <w:pPr>
        <w:rPr>
          <w:rFonts w:ascii="宋体" w:hAnsi="宋体" w:eastAsia="宋体" w:cs="Times New Roman"/>
          <w:b/>
          <w:sz w:val="32"/>
          <w:szCs w:val="32"/>
        </w:rPr>
      </w:pPr>
      <w:r>
        <w:rPr>
          <w:rFonts w:ascii="宋体" w:hAnsi="宋体" w:eastAsia="宋体" w:cs="Times New Roman"/>
          <w:b/>
          <w:sz w:val="32"/>
          <w:szCs w:val="32"/>
        </w:rPr>
        <w:br w:type="page"/>
      </w: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自2022年11月1日起，新增附录Ⅳ如下：</w:t>
      </w:r>
    </w:p>
    <w:p>
      <w:pPr>
        <w:pStyle w:val="10"/>
        <w:jc w:val="center"/>
        <w:outlineLvl w:val="0"/>
        <w:rPr>
          <w:rFonts w:ascii="Times New Roman" w:hAnsi="Times New Roman" w:eastAsia="黑体" w:cs="Times New Roman"/>
          <w:color w:val="FF0000"/>
          <w:sz w:val="32"/>
          <w:szCs w:val="32"/>
          <w:u w:val="single"/>
          <w:lang w:bidi="ar"/>
        </w:rPr>
      </w:pPr>
      <w:bookmarkStart w:id="31" w:name="_Toc94175447"/>
      <w:bookmarkStart w:id="32" w:name="_Toc23786"/>
      <w:r>
        <w:rPr>
          <w:rFonts w:hint="eastAsia" w:ascii="Times New Roman" w:hAnsi="Times New Roman" w:eastAsia="宋体" w:cs="Times New Roman"/>
          <w:lang w:bidi="ar"/>
        </w:rPr>
        <w:t>“</w:t>
      </w:r>
      <w:r>
        <w:rPr>
          <w:rFonts w:ascii="Times New Roman" w:hAnsi="Times New Roman" w:eastAsia="黑体" w:cs="Times New Roman"/>
          <w:color w:val="FF0000"/>
          <w:sz w:val="32"/>
          <w:szCs w:val="32"/>
          <w:u w:val="single"/>
          <w:lang w:bidi="ar"/>
        </w:rPr>
        <w:t>附录</w:t>
      </w:r>
      <w:r>
        <w:rPr>
          <w:rFonts w:hint="eastAsia" w:hAnsi="宋体" w:eastAsia="宋体" w:cs="宋体"/>
          <w:color w:val="FF0000"/>
          <w:sz w:val="32"/>
          <w:szCs w:val="32"/>
          <w:u w:val="single"/>
          <w:lang w:bidi="ar"/>
        </w:rPr>
        <w:t>Ⅳ</w:t>
      </w:r>
      <w:r>
        <w:rPr>
          <w:rFonts w:ascii="Times New Roman" w:hAnsi="Times New Roman" w:eastAsia="黑体" w:cs="Times New Roman"/>
          <w:color w:val="FF0000"/>
          <w:sz w:val="32"/>
          <w:szCs w:val="32"/>
          <w:u w:val="single"/>
          <w:lang w:bidi="ar"/>
        </w:rPr>
        <w:t xml:space="preserve">  </w:t>
      </w:r>
      <w:r>
        <w:rPr>
          <w:rFonts w:hint="eastAsia" w:ascii="Times New Roman" w:hAnsi="Times New Roman" w:eastAsia="黑体" w:cs="Times New Roman"/>
          <w:color w:val="FF0000"/>
          <w:sz w:val="32"/>
          <w:szCs w:val="32"/>
          <w:u w:val="single"/>
          <w:lang w:bidi="ar"/>
        </w:rPr>
        <w:t>国际</w:t>
      </w:r>
      <w:r>
        <w:rPr>
          <w:rFonts w:ascii="Times New Roman" w:hAnsi="Times New Roman" w:eastAsia="黑体" w:cs="Times New Roman"/>
          <w:color w:val="FF0000"/>
          <w:sz w:val="32"/>
          <w:szCs w:val="32"/>
          <w:u w:val="single"/>
          <w:lang w:bidi="ar"/>
        </w:rPr>
        <w:t>无人非自航</w:t>
      </w:r>
      <w:r>
        <w:rPr>
          <w:rFonts w:hint="eastAsia" w:ascii="Times New Roman" w:hAnsi="Times New Roman" w:eastAsia="黑体" w:cs="Times New Roman"/>
          <w:color w:val="FF0000"/>
          <w:sz w:val="32"/>
          <w:szCs w:val="32"/>
          <w:u w:val="single"/>
          <w:lang w:bidi="ar"/>
        </w:rPr>
        <w:t>（UNSP）</w:t>
      </w:r>
      <w:r>
        <w:rPr>
          <w:rFonts w:ascii="Times New Roman" w:hAnsi="Times New Roman" w:eastAsia="黑体" w:cs="Times New Roman"/>
          <w:color w:val="FF0000"/>
          <w:sz w:val="32"/>
          <w:szCs w:val="32"/>
          <w:u w:val="single"/>
          <w:lang w:bidi="ar"/>
        </w:rPr>
        <w:t>驳船</w:t>
      </w:r>
      <w:r>
        <w:rPr>
          <w:rFonts w:hint="eastAsia" w:ascii="Times New Roman" w:hAnsi="Times New Roman" w:eastAsia="黑体" w:cs="Times New Roman"/>
          <w:color w:val="FF0000"/>
          <w:sz w:val="32"/>
          <w:szCs w:val="32"/>
          <w:u w:val="single"/>
          <w:lang w:bidi="ar"/>
        </w:rPr>
        <w:t>防止油污</w:t>
      </w:r>
      <w:r>
        <w:rPr>
          <w:rFonts w:ascii="Times New Roman" w:hAnsi="Times New Roman" w:eastAsia="黑体" w:cs="Times New Roman"/>
          <w:color w:val="FF0000"/>
          <w:sz w:val="32"/>
          <w:szCs w:val="32"/>
          <w:u w:val="single"/>
          <w:lang w:bidi="ar"/>
        </w:rPr>
        <w:t>免除证书格式</w:t>
      </w:r>
      <w:bookmarkEnd w:id="31"/>
      <w:bookmarkEnd w:id="32"/>
    </w:p>
    <w:p>
      <w:pPr>
        <w:jc w:val="center"/>
        <w:rPr>
          <w:rFonts w:ascii="宋体" w:hAnsi="宋体" w:eastAsia="宋体" w:cs="Times New Roman"/>
          <w:bCs/>
          <w:szCs w:val="20"/>
        </w:rPr>
      </w:pPr>
      <w:r>
        <w:rPr>
          <w:rFonts w:hint="eastAsia" w:ascii="宋体" w:hAnsi="宋体" w:eastAsia="宋体" w:cs="Times New Roman"/>
          <w:b/>
          <w:color w:val="FF0000"/>
          <w:szCs w:val="20"/>
          <w:u w:val="single"/>
        </w:rPr>
        <w:t>（略）</w:t>
      </w:r>
      <w:r>
        <w:rPr>
          <w:rFonts w:hint="eastAsia" w:ascii="宋体" w:hAnsi="宋体" w:eastAsia="宋体" w:cs="Times New Roman"/>
          <w:bCs/>
          <w:szCs w:val="20"/>
        </w:rPr>
        <w:t>”</w:t>
      </w:r>
    </w:p>
    <w:p>
      <w:pPr>
        <w:rPr>
          <w:rFonts w:ascii="宋体" w:hAnsi="宋体" w:eastAsia="宋体" w:cs="Times New Roman"/>
          <w:b/>
          <w:sz w:val="24"/>
        </w:rPr>
      </w:pPr>
      <w:r>
        <w:rPr>
          <w:rFonts w:ascii="宋体" w:hAnsi="宋体" w:eastAsia="宋体" w:cs="Times New Roman"/>
          <w:b/>
          <w:szCs w:val="20"/>
        </w:rPr>
        <w:br w:type="page"/>
      </w:r>
    </w:p>
    <w:p>
      <w:pPr>
        <w:pStyle w:val="35"/>
        <w:outlineLvl w:val="0"/>
        <w:rPr>
          <w:rFonts w:hint="default" w:ascii="Times New Roman" w:hAnsi="Times New Roman" w:cs="Times New Roman"/>
        </w:rPr>
      </w:pPr>
      <w:bookmarkStart w:id="33" w:name="_Toc14579"/>
      <w:bookmarkStart w:id="34" w:name="_Toc94175448"/>
      <w:r>
        <w:rPr>
          <w:rFonts w:ascii="Times New Roman" w:hAnsi="Times New Roman" w:cs="Times New Roman"/>
        </w:rPr>
        <w:t>第2章  防止散装运输有毒液体物质污染规则</w:t>
      </w:r>
      <w:bookmarkEnd w:id="33"/>
      <w:bookmarkEnd w:id="34"/>
    </w:p>
    <w:p>
      <w:pPr>
        <w:pStyle w:val="35"/>
        <w:rPr>
          <w:rFonts w:hint="default" w:ascii="Times New Roman" w:hAnsi="Times New Roman" w:cs="Times New Roman"/>
        </w:rPr>
      </w:pPr>
      <w:r>
        <w:rPr>
          <w:rFonts w:ascii="Times New Roman" w:hAnsi="Times New Roman" w:cs="Times New Roman"/>
        </w:rPr>
        <w:t xml:space="preserve">（MARPOL 附则 </w:t>
      </w:r>
      <w:r>
        <w:rPr>
          <w:rFonts w:ascii="宋体" w:hAnsi="宋体" w:eastAsia="宋体" w:cs="宋体"/>
        </w:rPr>
        <w:t>Ⅱ</w:t>
      </w:r>
      <w:r>
        <w:rPr>
          <w:rFonts w:ascii="Times New Roman" w:hAnsi="Times New Roman" w:cs="Times New Roman"/>
        </w:rPr>
        <w:t>）</w:t>
      </w:r>
    </w:p>
    <w:p>
      <w:pPr>
        <w:pStyle w:val="35"/>
        <w:rPr>
          <w:rFonts w:hint="default" w:ascii="Times New Roman" w:hAnsi="Times New Roman" w:cs="Times New Roman"/>
        </w:rPr>
      </w:pPr>
    </w:p>
    <w:p>
      <w:pPr>
        <w:pStyle w:val="36"/>
        <w:rPr>
          <w:rFonts w:hint="default" w:ascii="Times New Roman" w:hAnsi="Times New Roman"/>
        </w:rPr>
      </w:pPr>
      <w:bookmarkStart w:id="35" w:name="_Toc7608"/>
      <w:bookmarkStart w:id="36" w:name="_Toc94175449"/>
      <w:r>
        <w:rPr>
          <w:rFonts w:ascii="Times New Roman" w:hAnsi="Times New Roman"/>
        </w:rPr>
        <w:t>I  总  则</w:t>
      </w:r>
      <w:bookmarkEnd w:id="35"/>
      <w:bookmarkEnd w:id="36"/>
    </w:p>
    <w:p>
      <w:pPr>
        <w:pStyle w:val="10"/>
        <w:jc w:val="center"/>
        <w:rPr>
          <w:rFonts w:ascii="Times New Roman" w:hAnsi="Times New Roman" w:eastAsia="楷体" w:cs="Times New Roman"/>
          <w:sz w:val="28"/>
          <w:szCs w:val="28"/>
        </w:rPr>
      </w:pPr>
    </w:p>
    <w:p>
      <w:pPr>
        <w:pStyle w:val="10"/>
        <w:jc w:val="center"/>
        <w:outlineLvl w:val="3"/>
        <w:rPr>
          <w:rFonts w:ascii="Times New Roman" w:hAnsi="Times New Roman" w:eastAsia="黑体" w:cs="Times New Roman"/>
          <w:bCs/>
        </w:rPr>
      </w:pPr>
      <w:bookmarkStart w:id="37" w:name="_Toc3198"/>
      <w:r>
        <w:rPr>
          <w:rFonts w:ascii="Times New Roman" w:hAnsi="Times New Roman" w:eastAsia="黑体" w:cs="Times New Roman"/>
          <w:bCs/>
        </w:rPr>
        <w:t>第1条   定  义</w:t>
      </w:r>
      <w:bookmarkEnd w:id="37"/>
    </w:p>
    <w:p>
      <w:pPr>
        <w:rPr>
          <w:rFonts w:ascii="宋体" w:hAnsi="宋体" w:eastAsia="宋体" w:cs="Times New Roman"/>
          <w:sz w:val="24"/>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新增22如下：</w:t>
      </w:r>
    </w:p>
    <w:p>
      <w:pPr>
        <w:adjustRightInd w:val="0"/>
        <w:snapToGrid w:val="0"/>
        <w:ind w:firstLine="357" w:firstLineChars="170"/>
        <w:rPr>
          <w:rFonts w:ascii="Times New Roman" w:hAnsi="Times New Roman" w:eastAsia="宋体" w:cs="Times New Roman"/>
          <w:szCs w:val="20"/>
          <w:u w:val="single"/>
        </w:rPr>
      </w:pPr>
      <w:r>
        <w:rPr>
          <w:rFonts w:hint="eastAsia" w:ascii="Times New Roman" w:hAnsi="Times New Roman" w:eastAsia="宋体" w:cs="Times New Roman"/>
          <w:szCs w:val="20"/>
        </w:rPr>
        <w:t>“</w:t>
      </w:r>
      <w:r>
        <w:rPr>
          <w:rFonts w:hint="eastAsia" w:ascii="Times New Roman" w:hAnsi="Times New Roman" w:eastAsia="宋体" w:cs="Times New Roman"/>
          <w:color w:val="FF0000"/>
          <w:szCs w:val="20"/>
          <w:u w:val="single"/>
        </w:rPr>
        <w:t xml:space="preserve">22 </w:t>
      </w:r>
      <w:r>
        <w:rPr>
          <w:rFonts w:hint="eastAsia" w:ascii="Times New Roman" w:hAnsi="Times New Roman" w:eastAsia="宋体" w:cs="Times New Roman"/>
          <w:b/>
          <w:color w:val="FF0000"/>
          <w:szCs w:val="20"/>
          <w:u w:val="single"/>
        </w:rPr>
        <w:t>电子记录簿</w:t>
      </w:r>
      <w:r>
        <w:rPr>
          <w:rFonts w:hint="eastAsia" w:ascii="Times New Roman" w:hAnsi="Times New Roman" w:eastAsia="宋体" w:cs="Times New Roman"/>
          <w:color w:val="FF0000"/>
          <w:szCs w:val="20"/>
          <w:u w:val="single"/>
        </w:rPr>
        <w:t>系指经主管机关批准的，用于以电子方式记录本附则所规定的排放、过驳和其他操作所需项目的装置或系统，以代替纸质记录簿。</w:t>
      </w:r>
      <w:r>
        <w:rPr>
          <w:rFonts w:hint="eastAsia" w:ascii="Times New Roman" w:hAnsi="Times New Roman" w:eastAsia="宋体" w:cs="Times New Roman"/>
          <w:szCs w:val="20"/>
        </w:rPr>
        <w:t>”</w:t>
      </w:r>
    </w:p>
    <w:p>
      <w:pPr>
        <w:adjustRightInd w:val="0"/>
        <w:snapToGrid w:val="0"/>
        <w:ind w:firstLine="357" w:firstLineChars="170"/>
        <w:rPr>
          <w:rFonts w:ascii="楷体" w:hAnsi="楷体" w:eastAsia="楷体" w:cs="楷体"/>
          <w:snapToGrid w:val="0"/>
          <w:color w:val="0000FF"/>
          <w:kern w:val="0"/>
          <w:szCs w:val="21"/>
          <w:u w:val="single"/>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新增23如下：</w:t>
      </w:r>
    </w:p>
    <w:p>
      <w:pPr>
        <w:adjustRightInd w:val="0"/>
        <w:snapToGrid w:val="0"/>
        <w:ind w:firstLine="357" w:firstLineChars="170"/>
        <w:rPr>
          <w:rFonts w:ascii="Times New Roman" w:hAnsi="Times New Roman" w:eastAsia="宋体" w:cs="Times New Roman"/>
          <w:szCs w:val="20"/>
          <w:u w:val="single"/>
        </w:rPr>
      </w:pPr>
      <w:r>
        <w:rPr>
          <w:rFonts w:hint="eastAsia" w:ascii="Times New Roman" w:hAnsi="Times New Roman" w:eastAsia="宋体" w:cs="Times New Roman"/>
          <w:szCs w:val="20"/>
        </w:rPr>
        <w:t>“</w:t>
      </w:r>
      <w:r>
        <w:rPr>
          <w:rFonts w:hint="eastAsia" w:ascii="Times New Roman" w:hAnsi="Times New Roman" w:eastAsia="宋体" w:cs="Times New Roman"/>
          <w:color w:val="FF0000"/>
          <w:szCs w:val="20"/>
          <w:u w:val="single"/>
        </w:rPr>
        <w:t xml:space="preserve">23 </w:t>
      </w:r>
      <w:r>
        <w:rPr>
          <w:rFonts w:hint="eastAsia" w:ascii="Times New Roman" w:hAnsi="Times New Roman" w:eastAsia="宋体" w:cs="Times New Roman"/>
          <w:b/>
          <w:color w:val="FF0000"/>
          <w:szCs w:val="20"/>
          <w:u w:val="single"/>
        </w:rPr>
        <w:t>持久性漂浮物</w:t>
      </w:r>
      <w:r>
        <w:rPr>
          <w:rFonts w:ascii="Times New Roman" w:hAnsi="Times New Roman" w:eastAsia="宋体" w:cs="Times New Roman"/>
          <w:color w:val="FF0000"/>
          <w:szCs w:val="20"/>
          <w:u w:val="single"/>
        </w:rPr>
        <w:t>系指具有如下特性的</w:t>
      </w:r>
      <w:r>
        <w:rPr>
          <w:rFonts w:hint="eastAsia" w:ascii="Times New Roman" w:hAnsi="Times New Roman" w:eastAsia="宋体" w:cs="Times New Roman"/>
          <w:color w:val="FF0000"/>
          <w:szCs w:val="20"/>
          <w:u w:val="single"/>
        </w:rPr>
        <w:t>浮油</w:t>
      </w:r>
      <w:r>
        <w:rPr>
          <w:rFonts w:ascii="Times New Roman" w:hAnsi="Times New Roman" w:eastAsia="宋体" w:cs="Times New Roman"/>
          <w:color w:val="FF0000"/>
          <w:szCs w:val="20"/>
          <w:u w:val="single"/>
        </w:rPr>
        <w:t>形成物质：</w:t>
      </w:r>
    </w:p>
    <w:p>
      <w:pPr>
        <w:numPr>
          <w:ilvl w:val="0"/>
          <w:numId w:val="3"/>
        </w:numPr>
        <w:rPr>
          <w:rFonts w:ascii="Times New Roman" w:hAnsi="Times New Roman" w:eastAsia="宋体" w:cs="Times New Roman"/>
          <w:szCs w:val="22"/>
        </w:rPr>
      </w:pPr>
      <w:r>
        <w:rPr>
          <w:rFonts w:ascii="Times New Roman" w:hAnsi="Times New Roman" w:eastAsia="宋体" w:cs="Times New Roman"/>
          <w:szCs w:val="22"/>
        </w:rPr>
        <w:t>密度：</w:t>
      </w:r>
      <w:r>
        <w:rPr>
          <w:rFonts w:ascii="Times New Roman" w:hAnsi="Times New Roman" w:eastAsia="华文宋体" w:cs="Times New Roman"/>
          <w:szCs w:val="22"/>
        </w:rPr>
        <w:t>≤</w:t>
      </w:r>
      <w:r>
        <w:rPr>
          <w:rFonts w:ascii="Times New Roman" w:hAnsi="Times New Roman" w:eastAsia="宋体" w:cs="Times New Roman"/>
          <w:szCs w:val="22"/>
        </w:rPr>
        <w:t>海水（20</w:t>
      </w:r>
      <w:r>
        <w:rPr>
          <w:rFonts w:hint="eastAsia" w:ascii="宋体" w:hAnsi="宋体" w:eastAsia="宋体" w:cs="宋体"/>
          <w:szCs w:val="22"/>
        </w:rPr>
        <w:t>℃</w:t>
      </w:r>
      <w:r>
        <w:rPr>
          <w:rFonts w:ascii="Times New Roman" w:hAnsi="Times New Roman" w:eastAsia="华文宋体" w:cs="Times New Roman"/>
          <w:szCs w:val="22"/>
        </w:rPr>
        <w:t>时</w:t>
      </w:r>
      <w:r>
        <w:rPr>
          <w:rFonts w:ascii="Times New Roman" w:hAnsi="Times New Roman" w:eastAsia="宋体" w:cs="Times New Roman"/>
          <w:szCs w:val="22"/>
        </w:rPr>
        <w:t>为1025 kg/m</w:t>
      </w:r>
      <w:r>
        <w:rPr>
          <w:rFonts w:ascii="Times New Roman" w:hAnsi="Times New Roman" w:eastAsia="宋体" w:cs="Times New Roman"/>
          <w:szCs w:val="22"/>
          <w:vertAlign w:val="superscript"/>
        </w:rPr>
        <w:t>3</w:t>
      </w:r>
      <w:r>
        <w:rPr>
          <w:rFonts w:ascii="Times New Roman" w:hAnsi="Times New Roman" w:eastAsia="宋体" w:cs="Times New Roman"/>
          <w:szCs w:val="22"/>
        </w:rPr>
        <w:t xml:space="preserve"> ）；</w:t>
      </w:r>
    </w:p>
    <w:p>
      <w:pPr>
        <w:numPr>
          <w:ilvl w:val="0"/>
          <w:numId w:val="3"/>
        </w:numPr>
        <w:rPr>
          <w:rFonts w:ascii="Times New Roman" w:hAnsi="Times New Roman" w:eastAsia="宋体" w:cs="Times New Roman"/>
          <w:szCs w:val="22"/>
        </w:rPr>
      </w:pPr>
      <w:r>
        <w:rPr>
          <w:rFonts w:ascii="Times New Roman" w:hAnsi="Times New Roman" w:eastAsia="宋体" w:cs="Times New Roman"/>
          <w:szCs w:val="22"/>
        </w:rPr>
        <w:t>蒸气压力：</w:t>
      </w:r>
      <w:r>
        <w:rPr>
          <w:rFonts w:ascii="Times New Roman" w:hAnsi="Times New Roman" w:eastAsia="华文宋体" w:cs="Times New Roman"/>
          <w:szCs w:val="22"/>
        </w:rPr>
        <w:t>≤ 0.3 kPa；</w:t>
      </w:r>
    </w:p>
    <w:p>
      <w:pPr>
        <w:numPr>
          <w:ilvl w:val="0"/>
          <w:numId w:val="3"/>
        </w:numPr>
        <w:rPr>
          <w:rFonts w:ascii="Times New Roman" w:hAnsi="Times New Roman" w:eastAsia="宋体" w:cs="Times New Roman"/>
          <w:szCs w:val="22"/>
        </w:rPr>
      </w:pPr>
      <w:r>
        <w:rPr>
          <w:rFonts w:ascii="Times New Roman" w:hAnsi="Times New Roman" w:eastAsia="宋体" w:cs="Times New Roman"/>
          <w:szCs w:val="22"/>
        </w:rPr>
        <w:t>溶解度：</w:t>
      </w:r>
      <w:r>
        <w:rPr>
          <w:rFonts w:ascii="Times New Roman" w:hAnsi="Times New Roman" w:eastAsia="华文宋体" w:cs="Times New Roman"/>
          <w:szCs w:val="22"/>
        </w:rPr>
        <w:t>≤ 0.1%（对于液体）≤ 10%（对于固体）；和</w:t>
      </w:r>
    </w:p>
    <w:p>
      <w:pPr>
        <w:numPr>
          <w:ilvl w:val="0"/>
          <w:numId w:val="3"/>
        </w:numPr>
        <w:rPr>
          <w:rFonts w:ascii="Times New Roman" w:hAnsi="Times New Roman" w:eastAsia="宋体" w:cs="Times New Roman"/>
          <w:color w:val="FF0000"/>
          <w:szCs w:val="21"/>
          <w:u w:val="single"/>
        </w:rPr>
      </w:pPr>
      <w:r>
        <w:rPr>
          <w:rFonts w:ascii="Times New Roman" w:hAnsi="Times New Roman" w:eastAsia="宋体" w:cs="Times New Roman"/>
          <w:szCs w:val="22"/>
        </w:rPr>
        <w:t>运动粘度：20</w:t>
      </w:r>
      <w:r>
        <w:rPr>
          <w:rFonts w:hint="eastAsia" w:ascii="Times New Roman" w:hAnsi="Times New Roman" w:eastAsia="宋体" w:cs="Times New Roman"/>
          <w:szCs w:val="22"/>
        </w:rPr>
        <w:t>℃</w:t>
      </w:r>
      <w:r>
        <w:rPr>
          <w:rFonts w:ascii="Times New Roman" w:hAnsi="Times New Roman" w:eastAsia="宋体" w:cs="Times New Roman"/>
          <w:szCs w:val="22"/>
        </w:rPr>
        <w:t>时&gt; 10 cSt  。</w:t>
      </w:r>
      <w:r>
        <w:rPr>
          <w:rFonts w:hint="eastAsia" w:ascii="Times New Roman" w:hAnsi="Times New Roman" w:eastAsia="宋体" w:cs="Times New Roman"/>
          <w:szCs w:val="20"/>
        </w:rPr>
        <w:t>”</w:t>
      </w:r>
    </w:p>
    <w:p>
      <w:pPr>
        <w:ind w:left="420"/>
        <w:rPr>
          <w:rFonts w:ascii="Times New Roman" w:hAnsi="Times New Roman" w:eastAsia="宋体" w:cs="Times New Roman"/>
          <w:color w:val="FF0000"/>
          <w:szCs w:val="21"/>
          <w:u w:val="single"/>
        </w:rPr>
      </w:pPr>
    </w:p>
    <w:p>
      <w:pPr>
        <w:pStyle w:val="10"/>
        <w:jc w:val="center"/>
        <w:rPr>
          <w:rFonts w:ascii="Times New Roman" w:hAnsi="Times New Roman" w:eastAsia="黑体" w:cs="Times New Roman"/>
          <w:bCs/>
        </w:rPr>
      </w:pPr>
    </w:p>
    <w:p>
      <w:pPr>
        <w:pStyle w:val="10"/>
        <w:jc w:val="center"/>
        <w:outlineLvl w:val="3"/>
        <w:rPr>
          <w:rFonts w:ascii="Times New Roman" w:hAnsi="Times New Roman" w:eastAsia="黑体" w:cs="Times New Roman"/>
          <w:bCs/>
        </w:rPr>
      </w:pPr>
      <w:bookmarkStart w:id="38" w:name="_Toc4570"/>
      <w:r>
        <w:rPr>
          <w:rFonts w:ascii="Times New Roman" w:hAnsi="Times New Roman" w:eastAsia="黑体" w:cs="Times New Roman"/>
          <w:bCs/>
        </w:rPr>
        <w:t>第4条  免  除</w:t>
      </w:r>
      <w:bookmarkEnd w:id="38"/>
    </w:p>
    <w:p>
      <w:pPr>
        <w:rPr>
          <w:rFonts w:ascii="宋体" w:hAnsi="宋体" w:eastAsia="宋体" w:cs="Times New Roman"/>
          <w:szCs w:val="21"/>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原1.3.2.2改为：</w:t>
      </w:r>
    </w:p>
    <w:p>
      <w:pPr>
        <w:pStyle w:val="10"/>
        <w:ind w:firstLine="420" w:firstLineChars="200"/>
        <w:rPr>
          <w:rFonts w:ascii="Times New Roman" w:hAnsi="Times New Roman" w:eastAsia="宋体" w:cs="Times New Roman"/>
          <w:lang w:bidi="ar"/>
        </w:rPr>
      </w:pPr>
      <w:r>
        <w:rPr>
          <w:rFonts w:hint="eastAsia" w:ascii="Times New Roman" w:hAnsi="Times New Roman" w:eastAsia="宋体" w:cs="Times New Roman"/>
          <w:lang w:bidi="ar"/>
        </w:rPr>
        <w:t>“</w:t>
      </w:r>
      <w:r>
        <w:rPr>
          <w:rFonts w:ascii="Times New Roman" w:hAnsi="Times New Roman" w:eastAsia="宋体" w:cs="Times New Roman"/>
          <w:lang w:bidi="ar"/>
        </w:rPr>
        <w:t>.2 双层底舱或处所应布置成液货舱底部与</w:t>
      </w:r>
      <w:r>
        <w:rPr>
          <w:rFonts w:hint="eastAsia" w:ascii="Times New Roman" w:hAnsi="Times New Roman" w:eastAsia="宋体" w:cs="Times New Roman"/>
          <w:lang w:bidi="ar"/>
        </w:rPr>
        <w:t>船</w:t>
      </w:r>
      <w:r>
        <w:rPr>
          <w:rFonts w:ascii="Times New Roman" w:hAnsi="Times New Roman" w:eastAsia="宋体" w:cs="Times New Roman"/>
          <w:lang w:bidi="ar"/>
        </w:rPr>
        <w:t>底部</w:t>
      </w:r>
      <w:r>
        <w:rPr>
          <w:rFonts w:hint="eastAsia" w:ascii="Times New Roman" w:hAnsi="Times New Roman" w:eastAsia="宋体" w:cs="Times New Roman"/>
          <w:lang w:bidi="ar"/>
        </w:rPr>
        <w:t>壳</w:t>
      </w:r>
      <w:r>
        <w:rPr>
          <w:rFonts w:ascii="Times New Roman" w:hAnsi="Times New Roman" w:eastAsia="宋体" w:cs="Times New Roman"/>
          <w:lang w:bidi="ar"/>
        </w:rPr>
        <w:t>板型线</w:t>
      </w:r>
      <w:r>
        <w:rPr>
          <w:rFonts w:hint="eastAsia" w:ascii="Times New Roman" w:hAnsi="Times New Roman" w:eastAsia="宋体" w:cs="Times New Roman"/>
          <w:lang w:bidi="ar"/>
        </w:rPr>
        <w:t>之间在船舶中心线处垂直于船</w:t>
      </w:r>
      <w:r>
        <w:rPr>
          <w:rFonts w:ascii="Times New Roman" w:hAnsi="Times New Roman" w:eastAsia="宋体" w:cs="Times New Roman"/>
          <w:lang w:bidi="ar"/>
        </w:rPr>
        <w:t>底部</w:t>
      </w:r>
      <w:r>
        <w:rPr>
          <w:rFonts w:hint="eastAsia" w:ascii="Times New Roman" w:hAnsi="Times New Roman" w:eastAsia="宋体" w:cs="Times New Roman"/>
          <w:lang w:bidi="ar"/>
        </w:rPr>
        <w:t>壳</w:t>
      </w:r>
      <w:r>
        <w:rPr>
          <w:rFonts w:ascii="Times New Roman" w:hAnsi="Times New Roman" w:eastAsia="宋体" w:cs="Times New Roman"/>
          <w:lang w:bidi="ar"/>
        </w:rPr>
        <w:t>板测量的距离不</w:t>
      </w:r>
      <w:r>
        <w:rPr>
          <w:rFonts w:hint="eastAsia" w:ascii="Times New Roman" w:hAnsi="Times New Roman" w:eastAsia="宋体" w:cs="Times New Roman"/>
          <w:lang w:bidi="ar"/>
        </w:rPr>
        <w:t>小于</w:t>
      </w:r>
      <w:r>
        <w:rPr>
          <w:rFonts w:ascii="Times New Roman" w:hAnsi="Times New Roman" w:eastAsia="宋体" w:cs="Times New Roman"/>
          <w:lang w:bidi="ar"/>
        </w:rPr>
        <w:t>B/15(m)或2.0m，取较小者。最小距离应为1.0m；</w:t>
      </w:r>
      <w:r>
        <w:rPr>
          <w:rFonts w:hint="eastAsia" w:ascii="Times New Roman" w:hAnsi="Times New Roman" w:eastAsia="宋体" w:cs="Times New Roman"/>
          <w:strike/>
          <w:color w:val="FF0000"/>
          <w:lang w:bidi="ar"/>
        </w:rPr>
        <w:t>以及</w:t>
      </w:r>
      <w:r>
        <w:rPr>
          <w:rFonts w:hint="eastAsia" w:ascii="Times New Roman" w:hAnsi="Times New Roman" w:eastAsia="宋体" w:cs="Times New Roman"/>
          <w:lang w:bidi="ar"/>
        </w:rPr>
        <w:t>”</w:t>
      </w:r>
    </w:p>
    <w:p>
      <w:pPr>
        <w:rPr>
          <w:rFonts w:ascii="宋体" w:hAnsi="宋体" w:eastAsia="宋体" w:cs="Times New Roman"/>
          <w:szCs w:val="21"/>
        </w:rPr>
      </w:pPr>
    </w:p>
    <w:p>
      <w:pPr>
        <w:rPr>
          <w:rFonts w:ascii="宋体" w:hAnsi="宋体" w:eastAsia="宋体" w:cs="Times New Roman"/>
          <w:szCs w:val="21"/>
        </w:rPr>
      </w:pPr>
    </w:p>
    <w:p>
      <w:pPr>
        <w:pStyle w:val="36"/>
        <w:rPr>
          <w:rFonts w:hint="default" w:ascii="Times New Roman" w:hAnsi="Times New Roman"/>
        </w:rPr>
      </w:pPr>
      <w:bookmarkStart w:id="39" w:name="_Toc20969"/>
      <w:bookmarkStart w:id="40" w:name="_Toc94175453"/>
      <w:r>
        <w:rPr>
          <w:rFonts w:ascii="Times New Roman" w:hAnsi="Times New Roman"/>
        </w:rPr>
        <w:t>V  有毒液体物质残余物的操作性排放</w:t>
      </w:r>
      <w:bookmarkEnd w:id="39"/>
      <w:bookmarkEnd w:id="40"/>
    </w:p>
    <w:p>
      <w:pPr>
        <w:jc w:val="center"/>
        <w:rPr>
          <w:rFonts w:ascii="宋体" w:hAnsi="宋体" w:eastAsia="宋体" w:cs="Times New Roman"/>
          <w:szCs w:val="21"/>
        </w:rPr>
      </w:pPr>
    </w:p>
    <w:p>
      <w:pPr>
        <w:pStyle w:val="10"/>
        <w:jc w:val="center"/>
        <w:outlineLvl w:val="3"/>
        <w:rPr>
          <w:rFonts w:ascii="Times New Roman" w:hAnsi="Times New Roman" w:eastAsia="黑体" w:cs="Times New Roman"/>
          <w:bCs/>
        </w:rPr>
      </w:pPr>
      <w:bookmarkStart w:id="41" w:name="_Toc4552"/>
      <w:r>
        <w:rPr>
          <w:rFonts w:hint="eastAsia" w:ascii="Times New Roman" w:hAnsi="Times New Roman" w:eastAsia="黑体" w:cs="Times New Roman"/>
          <w:bCs/>
        </w:rPr>
        <w:t xml:space="preserve">第13条   </w:t>
      </w:r>
      <w:r>
        <w:rPr>
          <w:rFonts w:ascii="Times New Roman" w:hAnsi="Times New Roman" w:eastAsia="黑体" w:cs="Times New Roman"/>
          <w:bCs/>
        </w:rPr>
        <w:t>有毒液体物质残余物</w:t>
      </w:r>
      <w:r>
        <w:rPr>
          <w:rFonts w:hint="eastAsia" w:ascii="Times New Roman" w:hAnsi="Times New Roman" w:eastAsia="黑体" w:cs="Times New Roman"/>
          <w:bCs/>
        </w:rPr>
        <w:t>的</w:t>
      </w:r>
      <w:r>
        <w:rPr>
          <w:rFonts w:ascii="Times New Roman" w:hAnsi="Times New Roman" w:eastAsia="黑体" w:cs="Times New Roman"/>
          <w:bCs/>
        </w:rPr>
        <w:t>排放控制</w:t>
      </w:r>
      <w:bookmarkEnd w:id="41"/>
    </w:p>
    <w:p>
      <w:pPr>
        <w:rPr>
          <w:rFonts w:ascii="宋体" w:hAnsi="宋体" w:eastAsia="宋体" w:cs="Times New Roman"/>
          <w:szCs w:val="21"/>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新增7.1.4如下：</w:t>
      </w:r>
    </w:p>
    <w:p>
      <w:pPr>
        <w:pStyle w:val="10"/>
        <w:ind w:firstLine="420" w:firstLineChars="200"/>
        <w:rPr>
          <w:rFonts w:ascii="Times New Roman" w:hAnsi="Times New Roman" w:eastAsia="宋体" w:cs="Times New Roman"/>
          <w:color w:val="FF0000"/>
          <w:u w:val="single"/>
          <w:lang w:bidi="ar"/>
        </w:rPr>
      </w:pPr>
      <w:r>
        <w:rPr>
          <w:rFonts w:hint="eastAsia" w:ascii="Times New Roman" w:hAnsi="Times New Roman" w:eastAsia="宋体" w:cs="Times New Roman"/>
          <w:lang w:bidi="ar"/>
        </w:rPr>
        <w:t>“</w:t>
      </w:r>
      <w:r>
        <w:rPr>
          <w:rFonts w:hint="eastAsia" w:ascii="Times New Roman" w:hAnsi="Times New Roman" w:eastAsia="宋体" w:cs="Times New Roman"/>
          <w:color w:val="FF0000"/>
          <w:u w:val="single"/>
          <w:lang w:bidi="ar"/>
        </w:rPr>
        <w:t>.4  在下述9中规定的区域，对于被归为Y类的在20℃时粘度等于或大于50 mPa•s和/或熔点等于或大于0℃持久性漂浮物，即IBC规则第17章表格中“O”栏标有“16.2.7”的物质，应适用如下要求：</w:t>
      </w:r>
    </w:p>
    <w:p>
      <w:pPr>
        <w:pStyle w:val="10"/>
        <w:ind w:firstLine="840" w:firstLineChars="400"/>
        <w:rPr>
          <w:rFonts w:ascii="Times New Roman" w:hAnsi="Times New Roman" w:eastAsia="宋体" w:cs="Times New Roman"/>
          <w:lang w:bidi="ar"/>
        </w:rPr>
      </w:pPr>
      <w:r>
        <w:rPr>
          <w:rFonts w:hint="eastAsia" w:ascii="Times New Roman" w:hAnsi="Times New Roman" w:eastAsia="宋体" w:cs="Times New Roman"/>
          <w:lang w:bidi="ar"/>
        </w:rPr>
        <w:t>.1  应采用本附则附录VI规定的预洗程序；</w:t>
      </w:r>
    </w:p>
    <w:p>
      <w:pPr>
        <w:pStyle w:val="10"/>
        <w:ind w:firstLine="840" w:firstLineChars="400"/>
        <w:rPr>
          <w:rFonts w:ascii="Times New Roman" w:hAnsi="Times New Roman" w:eastAsia="宋体" w:cs="Times New Roman"/>
          <w:lang w:bidi="ar"/>
        </w:rPr>
      </w:pPr>
      <w:r>
        <w:rPr>
          <w:rFonts w:hint="eastAsia" w:ascii="Times New Roman" w:hAnsi="Times New Roman" w:eastAsia="宋体" w:cs="Times New Roman"/>
          <w:lang w:bidi="ar"/>
        </w:rPr>
        <w:t>.2  预洗中产生的残余物/水的混合物应排放至卸货港口的接收设施直至液舱排空；和</w:t>
      </w:r>
    </w:p>
    <w:p>
      <w:pPr>
        <w:pStyle w:val="10"/>
        <w:ind w:firstLine="840" w:firstLineChars="400"/>
        <w:rPr>
          <w:rFonts w:ascii="Times New Roman" w:hAnsi="Times New Roman" w:eastAsia="宋体" w:cs="Times New Roman"/>
          <w:lang w:bidi="ar"/>
        </w:rPr>
      </w:pPr>
      <w:r>
        <w:rPr>
          <w:rFonts w:hint="eastAsia" w:ascii="Times New Roman" w:hAnsi="Times New Roman" w:eastAsia="宋体" w:cs="Times New Roman"/>
          <w:lang w:bidi="ar"/>
        </w:rPr>
        <w:t>.3  随后灌入舱内的任何水可按第13.2条的排放标准排放入海。”</w:t>
      </w:r>
    </w:p>
    <w:p>
      <w:pPr>
        <w:pStyle w:val="10"/>
        <w:ind w:firstLine="840" w:firstLineChars="400"/>
        <w:rPr>
          <w:rFonts w:ascii="Times New Roman" w:hAnsi="Times New Roman" w:eastAsia="宋体" w:cs="Times New Roman"/>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新增9如下：</w:t>
      </w:r>
    </w:p>
    <w:p>
      <w:pPr>
        <w:pStyle w:val="10"/>
        <w:ind w:firstLine="420"/>
        <w:rPr>
          <w:rFonts w:ascii="Times New Roman" w:hAnsi="Times New Roman" w:eastAsia="宋体" w:cs="Times New Roman"/>
          <w:b/>
          <w:color w:val="FF0000"/>
          <w:u w:val="single"/>
          <w:lang w:bidi="ar"/>
        </w:rPr>
      </w:pPr>
      <w:r>
        <w:rPr>
          <w:rFonts w:hint="eastAsia" w:ascii="Times New Roman" w:hAnsi="Times New Roman" w:eastAsia="宋体" w:cs="Times New Roman"/>
          <w:bCs/>
          <w:lang w:bidi="ar"/>
        </w:rPr>
        <w:t>“</w:t>
      </w:r>
      <w:r>
        <w:rPr>
          <w:rFonts w:hint="eastAsia" w:ascii="Times New Roman" w:hAnsi="Times New Roman" w:eastAsia="宋体" w:cs="Times New Roman"/>
          <w:b/>
          <w:color w:val="FF0000"/>
          <w:u w:val="single"/>
          <w:lang w:bidi="ar"/>
        </w:rPr>
        <w:t>9  第13.7.1.4条适用的区域</w:t>
      </w:r>
    </w:p>
    <w:p>
      <w:pPr>
        <w:pStyle w:val="10"/>
        <w:ind w:firstLine="420"/>
        <w:rPr>
          <w:rFonts w:ascii="Times New Roman" w:hAnsi="Times New Roman" w:eastAsia="宋体" w:cs="Times New Roman"/>
          <w:lang w:bidi="ar"/>
        </w:rPr>
      </w:pPr>
      <w:r>
        <w:rPr>
          <w:rFonts w:ascii="Times New Roman" w:hAnsi="Times New Roman" w:eastAsia="宋体" w:cs="Times New Roman"/>
          <w:lang w:bidi="ar"/>
        </w:rPr>
        <w:t>9.1</w:t>
      </w:r>
      <w:r>
        <w:rPr>
          <w:rFonts w:hint="eastAsia" w:ascii="Times New Roman" w:hAnsi="Times New Roman" w:eastAsia="宋体" w:cs="Times New Roman"/>
          <w:lang w:bidi="ar"/>
        </w:rPr>
        <w:t xml:space="preserve">  </w:t>
      </w:r>
      <w:r>
        <w:rPr>
          <w:rFonts w:ascii="Times New Roman" w:hAnsi="Times New Roman" w:eastAsia="宋体" w:cs="Times New Roman"/>
          <w:b/>
          <w:lang w:bidi="ar"/>
        </w:rPr>
        <w:t>西北欧水域</w:t>
      </w:r>
      <w:r>
        <w:rPr>
          <w:rFonts w:ascii="Times New Roman" w:hAnsi="Times New Roman" w:eastAsia="宋体" w:cs="Times New Roman"/>
          <w:lang w:bidi="ar"/>
        </w:rPr>
        <w:t>包括北海及其入口，爱尔兰海及其入口，克尔特海，英吉利海峡及其入口以及紧靠爱尔兰西部的大西洋东北海域。该区域以下述各点的连线为界：</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法国海岸线上北纬48</w:t>
      </w:r>
      <w:r>
        <w:rPr>
          <w:rFonts w:ascii="Times New Roman" w:hAnsi="Times New Roman" w:eastAsia="宋体" w:cs="Times New Roman"/>
          <w:lang w:bidi="ar"/>
        </w:rPr>
        <w:sym w:font="Symbol" w:char="F0B0"/>
      </w:r>
      <w:r>
        <w:rPr>
          <w:rFonts w:ascii="Times New Roman" w:hAnsi="Times New Roman" w:eastAsia="宋体" w:cs="Times New Roman"/>
          <w:lang w:bidi="ar"/>
        </w:rPr>
        <w:t>27'</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北纬48</w:t>
      </w:r>
      <w:r>
        <w:rPr>
          <w:rFonts w:ascii="Times New Roman" w:hAnsi="Times New Roman" w:eastAsia="宋体" w:cs="Times New Roman"/>
          <w:lang w:bidi="ar"/>
        </w:rPr>
        <w:sym w:font="Symbol" w:char="F0B0"/>
      </w:r>
      <w:r>
        <w:rPr>
          <w:rFonts w:ascii="Times New Roman" w:hAnsi="Times New Roman" w:eastAsia="宋体" w:cs="Times New Roman"/>
          <w:lang w:bidi="ar"/>
        </w:rPr>
        <w:t>27'；西经006</w:t>
      </w:r>
      <w:r>
        <w:rPr>
          <w:rFonts w:ascii="Times New Roman" w:hAnsi="Times New Roman" w:eastAsia="宋体" w:cs="Times New Roman"/>
          <w:lang w:bidi="ar"/>
        </w:rPr>
        <w:sym w:font="Symbol" w:char="F0B0"/>
      </w:r>
      <w:r>
        <w:rPr>
          <w:rFonts w:ascii="Times New Roman" w:hAnsi="Times New Roman" w:eastAsia="宋体" w:cs="Times New Roman"/>
          <w:lang w:bidi="ar"/>
        </w:rPr>
        <w:t>25'</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北纬49</w:t>
      </w:r>
      <w:r>
        <w:rPr>
          <w:rFonts w:ascii="Times New Roman" w:hAnsi="Times New Roman" w:eastAsia="宋体" w:cs="Times New Roman"/>
          <w:lang w:bidi="ar"/>
        </w:rPr>
        <w:sym w:font="Symbol" w:char="F0B0"/>
      </w:r>
      <w:r>
        <w:rPr>
          <w:rFonts w:ascii="Times New Roman" w:hAnsi="Times New Roman" w:eastAsia="宋体" w:cs="Times New Roman"/>
          <w:lang w:bidi="ar"/>
        </w:rPr>
        <w:t>52'；西经007</w:t>
      </w:r>
      <w:r>
        <w:rPr>
          <w:rFonts w:ascii="Times New Roman" w:hAnsi="Times New Roman" w:eastAsia="宋体" w:cs="Times New Roman"/>
          <w:lang w:bidi="ar"/>
        </w:rPr>
        <w:sym w:font="Symbol" w:char="F0B0"/>
      </w:r>
      <w:r>
        <w:rPr>
          <w:rFonts w:ascii="Times New Roman" w:hAnsi="Times New Roman" w:eastAsia="宋体" w:cs="Times New Roman"/>
          <w:lang w:bidi="ar"/>
        </w:rPr>
        <w:t>44'</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北纬50</w:t>
      </w:r>
      <w:r>
        <w:rPr>
          <w:rFonts w:ascii="Times New Roman" w:hAnsi="Times New Roman" w:eastAsia="宋体" w:cs="Times New Roman"/>
          <w:lang w:bidi="ar"/>
        </w:rPr>
        <w:sym w:font="Symbol" w:char="F0B0"/>
      </w:r>
      <w:r>
        <w:rPr>
          <w:rFonts w:ascii="Times New Roman" w:hAnsi="Times New Roman" w:eastAsia="宋体" w:cs="Times New Roman"/>
          <w:lang w:bidi="ar"/>
        </w:rPr>
        <w:t>30'；西经012</w:t>
      </w:r>
      <w:r>
        <w:rPr>
          <w:rFonts w:ascii="Times New Roman" w:hAnsi="Times New Roman" w:eastAsia="宋体" w:cs="Times New Roman"/>
          <w:lang w:bidi="ar"/>
        </w:rPr>
        <w:sym w:font="Symbol" w:char="F0B0"/>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北纬56</w:t>
      </w:r>
      <w:r>
        <w:rPr>
          <w:rFonts w:ascii="Times New Roman" w:hAnsi="Times New Roman" w:eastAsia="宋体" w:cs="Times New Roman"/>
          <w:lang w:bidi="ar"/>
        </w:rPr>
        <w:sym w:font="Symbol" w:char="F0B0"/>
      </w:r>
      <w:r>
        <w:rPr>
          <w:rFonts w:ascii="Times New Roman" w:hAnsi="Times New Roman" w:eastAsia="宋体" w:cs="Times New Roman"/>
          <w:lang w:bidi="ar"/>
        </w:rPr>
        <w:t>30'；西经012</w:t>
      </w:r>
      <w:r>
        <w:rPr>
          <w:rFonts w:ascii="Times New Roman" w:hAnsi="Times New Roman" w:eastAsia="宋体" w:cs="Times New Roman"/>
          <w:lang w:bidi="ar"/>
        </w:rPr>
        <w:sym w:font="Symbol" w:char="F0B0"/>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北纬62</w:t>
      </w:r>
      <w:r>
        <w:rPr>
          <w:rFonts w:ascii="Times New Roman" w:hAnsi="Times New Roman" w:eastAsia="宋体" w:cs="Times New Roman"/>
          <w:lang w:bidi="ar"/>
        </w:rPr>
        <w:sym w:font="Symbol" w:char="F0B0"/>
      </w:r>
      <w:r>
        <w:rPr>
          <w:rFonts w:ascii="Times New Roman" w:hAnsi="Times New Roman" w:eastAsia="宋体" w:cs="Times New Roman"/>
          <w:lang w:bidi="ar"/>
        </w:rPr>
        <w:t>；西经003</w:t>
      </w:r>
      <w:r>
        <w:rPr>
          <w:rFonts w:ascii="Times New Roman" w:hAnsi="Times New Roman" w:eastAsia="宋体" w:cs="Times New Roman"/>
          <w:lang w:bidi="ar"/>
        </w:rPr>
        <w:sym w:font="Symbol" w:char="F0B0"/>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挪威海岸线上北纬62</w:t>
      </w:r>
      <w:r>
        <w:rPr>
          <w:rFonts w:ascii="Times New Roman" w:hAnsi="Times New Roman" w:eastAsia="宋体" w:cs="Times New Roman"/>
          <w:lang w:bidi="ar"/>
        </w:rPr>
        <w:sym w:font="Symbol" w:char="F0B0"/>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丹麦和瑞典海岸线上北纬57</w:t>
      </w:r>
      <w:r>
        <w:rPr>
          <w:rFonts w:ascii="Times New Roman" w:hAnsi="Times New Roman" w:eastAsia="宋体" w:cs="Times New Roman"/>
          <w:lang w:bidi="ar"/>
        </w:rPr>
        <w:sym w:font="Symbol" w:char="F0B0"/>
      </w:r>
      <w:r>
        <w:rPr>
          <w:rFonts w:ascii="Times New Roman" w:hAnsi="Times New Roman" w:eastAsia="宋体" w:cs="Times New Roman"/>
          <w:lang w:bidi="ar"/>
        </w:rPr>
        <w:t>44'.8</w:t>
      </w:r>
    </w:p>
    <w:p>
      <w:pPr>
        <w:pStyle w:val="10"/>
        <w:ind w:firstLine="420"/>
        <w:rPr>
          <w:rFonts w:ascii="Times New Roman" w:hAnsi="Times New Roman" w:eastAsia="宋体" w:cs="Times New Roman"/>
          <w:lang w:bidi="ar"/>
        </w:rPr>
      </w:pPr>
      <w:r>
        <w:rPr>
          <w:rFonts w:ascii="Times New Roman" w:hAnsi="Times New Roman" w:eastAsia="宋体" w:cs="Times New Roman"/>
          <w:lang w:bidi="ar"/>
        </w:rPr>
        <w:t xml:space="preserve">9.2 </w:t>
      </w:r>
      <w:r>
        <w:rPr>
          <w:rFonts w:hint="eastAsia" w:ascii="Times New Roman" w:hAnsi="Times New Roman" w:eastAsia="宋体" w:cs="Times New Roman"/>
          <w:lang w:bidi="ar"/>
        </w:rPr>
        <w:t xml:space="preserve"> </w:t>
      </w:r>
      <w:r>
        <w:rPr>
          <w:rFonts w:ascii="Times New Roman" w:hAnsi="Times New Roman" w:eastAsia="宋体" w:cs="Times New Roman"/>
          <w:b/>
          <w:lang w:bidi="ar"/>
        </w:rPr>
        <w:t>波罗的海区域</w:t>
      </w:r>
      <w:r>
        <w:rPr>
          <w:rFonts w:ascii="Times New Roman" w:hAnsi="Times New Roman" w:eastAsia="宋体" w:cs="Times New Roman"/>
          <w:lang w:bidi="ar"/>
        </w:rPr>
        <w:t>系指波罗的海本身以及波的尼亚湾、芬兰湾和波罗的海入口（以斯卡格拉克（Skagerrak）海峡中斯卡晏角（Skaw）处的北纬57</w:t>
      </w:r>
      <w:r>
        <w:rPr>
          <w:rFonts w:ascii="Times New Roman" w:hAnsi="Times New Roman" w:eastAsia="宋体" w:cs="Times New Roman"/>
          <w:lang w:bidi="ar"/>
        </w:rPr>
        <w:sym w:font="Symbol" w:char="F0B0"/>
      </w:r>
      <w:r>
        <w:rPr>
          <w:rFonts w:ascii="Times New Roman" w:hAnsi="Times New Roman" w:eastAsia="宋体" w:cs="Times New Roman"/>
          <w:lang w:bidi="ar"/>
        </w:rPr>
        <w:t xml:space="preserve"> 44</w:t>
      </w:r>
      <w:r>
        <w:rPr>
          <w:rFonts w:ascii="Times New Roman" w:hAnsi="Times New Roman" w:eastAsia="宋体" w:cs="Times New Roman"/>
          <w:lang w:bidi="ar"/>
        </w:rPr>
        <w:sym w:font="Symbol" w:char="F0A2"/>
      </w:r>
      <w:r>
        <w:rPr>
          <w:rFonts w:ascii="Times New Roman" w:hAnsi="Times New Roman" w:eastAsia="宋体" w:cs="Times New Roman"/>
          <w:lang w:bidi="ar"/>
        </w:rPr>
        <w:t>.8为界）；</w:t>
      </w:r>
    </w:p>
    <w:p>
      <w:pPr>
        <w:pStyle w:val="10"/>
        <w:ind w:firstLine="420"/>
        <w:rPr>
          <w:rFonts w:ascii="Times New Roman" w:hAnsi="Times New Roman" w:eastAsia="宋体" w:cs="Times New Roman"/>
          <w:lang w:bidi="ar"/>
        </w:rPr>
      </w:pPr>
      <w:r>
        <w:rPr>
          <w:rFonts w:ascii="Times New Roman" w:hAnsi="Times New Roman" w:eastAsia="宋体" w:cs="Times New Roman"/>
          <w:lang w:bidi="ar"/>
        </w:rPr>
        <w:t>9.3</w:t>
      </w:r>
      <w:r>
        <w:rPr>
          <w:rFonts w:hint="eastAsia" w:ascii="Times New Roman" w:hAnsi="Times New Roman" w:eastAsia="宋体" w:cs="Times New Roman"/>
          <w:lang w:bidi="ar"/>
        </w:rPr>
        <w:t xml:space="preserve"> </w:t>
      </w:r>
      <w:r>
        <w:rPr>
          <w:rFonts w:ascii="Times New Roman" w:hAnsi="Times New Roman" w:eastAsia="宋体" w:cs="Times New Roman"/>
          <w:lang w:bidi="ar"/>
        </w:rPr>
        <w:t xml:space="preserve"> </w:t>
      </w:r>
      <w:r>
        <w:rPr>
          <w:rFonts w:ascii="Times New Roman" w:hAnsi="Times New Roman" w:eastAsia="宋体" w:cs="Times New Roman"/>
          <w:b/>
          <w:lang w:bidi="ar"/>
        </w:rPr>
        <w:t>西欧水域</w:t>
      </w:r>
      <w:r>
        <w:rPr>
          <w:rFonts w:ascii="Times New Roman" w:hAnsi="Times New Roman" w:eastAsia="宋体" w:cs="Times New Roman"/>
          <w:lang w:bidi="ar"/>
        </w:rPr>
        <w:t>覆盖了英国、爱尔兰、比利时、法国、西班牙和葡萄牙，从北面的设得兰（Shetland）群岛至南面的S·韦森特（S. Vicente）角，以及英吉利海峡及其入口。该区域以下述各点的连线为界：</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英国海岸线上北纬58°30'N</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北纬58°30'；西经000°</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北纬62°；西经000°</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北纬62°；西经003°</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北纬56°30'；西经012°</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北纬54°40'40.9"；西经015°</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北纬50°56'45.3"；西经015°</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北纬48°27'；西经006°25'</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北纬48°27'；西经008°</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北纬44°52'；西经003°10'</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北纬44°52'；西经010°</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北纬44°14'；西经011°34'</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北纬42°55'；西经012°18'</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北纬41°50'；西经011°34'</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北纬37°00'；西经009°49'</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北纬36°20'；西经009°00'</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北纬36°20'；西经007°47'</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北纬37°10'；西经007°25'</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北纬51°22'25"；</w:t>
      </w:r>
      <w:r>
        <w:rPr>
          <w:rFonts w:hint="eastAsia" w:ascii="Times New Roman" w:hAnsi="Times New Roman" w:eastAsia="宋体" w:cs="Times New Roman"/>
          <w:kern w:val="0"/>
        </w:rPr>
        <w:tab/>
      </w:r>
      <w:r>
        <w:rPr>
          <w:rFonts w:hint="eastAsia" w:ascii="Times New Roman" w:hAnsi="Times New Roman" w:eastAsia="宋体" w:cs="Times New Roman"/>
          <w:kern w:val="0"/>
        </w:rPr>
        <w:t>东经003°21'52.5"</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英国东海岸线上北纬52°12'；</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北纬52°10.3'；西经006°21.8'</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北纬52°01.52'；</w:t>
      </w:r>
      <w:r>
        <w:rPr>
          <w:rFonts w:hint="eastAsia" w:ascii="Times New Roman" w:hAnsi="Times New Roman" w:eastAsia="宋体" w:cs="Times New Roman"/>
          <w:kern w:val="0"/>
        </w:rPr>
        <w:tab/>
      </w:r>
      <w:r>
        <w:rPr>
          <w:rFonts w:hint="eastAsia" w:ascii="Times New Roman" w:hAnsi="Times New Roman" w:eastAsia="宋体" w:cs="Times New Roman"/>
          <w:kern w:val="0"/>
        </w:rPr>
        <w:t>西经005°04.18'</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北纬54°51.43'；西经005°08.47'</w:t>
      </w:r>
    </w:p>
    <w:p>
      <w:pPr>
        <w:pStyle w:val="10"/>
        <w:ind w:firstLine="420"/>
        <w:rPr>
          <w:rFonts w:ascii="Times New Roman" w:hAnsi="Times New Roman" w:eastAsia="宋体" w:cs="Times New Roman"/>
          <w:kern w:val="0"/>
        </w:rPr>
      </w:pPr>
      <w:r>
        <w:rPr>
          <w:rFonts w:hint="eastAsia" w:ascii="Times New Roman" w:hAnsi="Times New Roman" w:eastAsia="宋体" w:cs="Times New Roman"/>
          <w:kern w:val="0"/>
        </w:rPr>
        <w:t>北纬54°40.39'；西经005°34.34'</w:t>
      </w:r>
    </w:p>
    <w:p>
      <w:pPr>
        <w:pStyle w:val="10"/>
        <w:ind w:firstLine="420"/>
        <w:rPr>
          <w:rFonts w:ascii="Times New Roman" w:hAnsi="Times New Roman" w:eastAsia="宋体" w:cs="Times New Roman"/>
          <w:lang w:bidi="ar"/>
        </w:rPr>
      </w:pPr>
      <w:r>
        <w:rPr>
          <w:rFonts w:ascii="Times New Roman" w:hAnsi="Times New Roman" w:eastAsia="宋体" w:cs="Times New Roman"/>
          <w:lang w:bidi="ar"/>
        </w:rPr>
        <w:t>9.</w:t>
      </w:r>
      <w:r>
        <w:rPr>
          <w:rFonts w:hint="eastAsia" w:ascii="Times New Roman" w:hAnsi="Times New Roman" w:eastAsia="宋体" w:cs="Times New Roman"/>
          <w:lang w:bidi="ar"/>
        </w:rPr>
        <w:t>4</w:t>
      </w:r>
      <w:r>
        <w:rPr>
          <w:rFonts w:ascii="Times New Roman" w:hAnsi="Times New Roman" w:eastAsia="宋体" w:cs="Times New Roman"/>
          <w:lang w:bidi="ar"/>
        </w:rPr>
        <w:t xml:space="preserve"> </w:t>
      </w:r>
      <w:r>
        <w:rPr>
          <w:rFonts w:hint="eastAsia" w:ascii="Times New Roman" w:hAnsi="Times New Roman" w:eastAsia="宋体" w:cs="Times New Roman"/>
          <w:lang w:bidi="ar"/>
        </w:rPr>
        <w:t xml:space="preserve"> </w:t>
      </w:r>
      <w:r>
        <w:rPr>
          <w:rFonts w:ascii="Times New Roman" w:hAnsi="Times New Roman" w:eastAsia="宋体" w:cs="Times New Roman"/>
          <w:b/>
          <w:lang w:bidi="ar"/>
        </w:rPr>
        <w:t>挪威海</w:t>
      </w:r>
      <w:r>
        <w:rPr>
          <w:rFonts w:ascii="Times New Roman" w:hAnsi="Times New Roman" w:eastAsia="宋体" w:cs="Times New Roman"/>
          <w:lang w:bidi="ar"/>
        </w:rPr>
        <w:t>以下述各点的连线为界：</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北纬69°47.6904' ；东经030°49.059'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北纬69°58.758' ；东经031°6.2598'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北纬70°8.625' ；东经031°35.1354'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北纬70°16.4826' ；东经032°4.3836'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北纬73°23.0652' ；东经036°28.5732'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北纬73°35.6586' ；东经035°27.3378'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北纬74°2.9748' ；东经033°17.8596'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北纬74°20.7084'；东经030°33.5052'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北纬74°29.7972' ；东经026°28.1808'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北纬74°24.2448' ；东经022°55.0272'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北纬74°13.7226' ；东经020°15.9762'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北纬73°35.439' ；东经016°36.4974'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北纬73°14.8254' ；东经014°9.4266'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北纬72°42.54' ；东经011°42.1392'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北纬71°58.2'； 东经009°54.96'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北纬71°37.5612' ；东经008°43.8222'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北纬70°43.161' ；东经006°36.0672'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北纬69°36.624' ；东经004°47.322'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北纬68°58.3164' ；东经003°51.2154'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北纬68°14.9892' ；东经003°17.0322'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北纬67°25.7982' ；东经003°10.2078'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北纬66°49.7292' ；东经003°25.1304'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北纬66°25.9344' ；东经003°17.1102'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北纬65°22.7214' ；东经001°24.5928'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北纬64°25.9692' ； 西经000°29.3214'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北纬63°53.2242' ；西经000°29.442'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北纬62°53.4654' ；东经000°38.355'  </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北纬62°；东经001°22.2498'</w:t>
      </w:r>
    </w:p>
    <w:p>
      <w:pPr>
        <w:pStyle w:val="10"/>
        <w:ind w:firstLine="420" w:firstLineChars="200"/>
        <w:rPr>
          <w:rFonts w:ascii="Times New Roman" w:hAnsi="Times New Roman" w:eastAsia="宋体" w:cs="Times New Roman"/>
          <w:lang w:bidi="ar"/>
        </w:rPr>
      </w:pPr>
      <w:r>
        <w:rPr>
          <w:rFonts w:ascii="Times New Roman" w:hAnsi="Times New Roman" w:eastAsia="宋体" w:cs="Times New Roman"/>
          <w:lang w:bidi="ar"/>
        </w:rPr>
        <w:t xml:space="preserve">北纬62°；东经004°52.3464' </w:t>
      </w:r>
      <w:r>
        <w:rPr>
          <w:rFonts w:hint="eastAsia" w:ascii="Times New Roman" w:hAnsi="Times New Roman" w:eastAsia="宋体" w:cs="Times New Roman"/>
          <w:lang w:bidi="ar"/>
        </w:rPr>
        <w:t>”</w:t>
      </w:r>
    </w:p>
    <w:p>
      <w:pPr>
        <w:ind w:firstLine="630" w:firstLineChars="300"/>
        <w:rPr>
          <w:rFonts w:ascii="宋体" w:hAnsi="宋体" w:eastAsia="宋体" w:cs="Times New Roman"/>
          <w:szCs w:val="21"/>
        </w:rPr>
      </w:pPr>
    </w:p>
    <w:p>
      <w:pPr>
        <w:pStyle w:val="10"/>
        <w:ind w:firstLine="420" w:firstLineChars="200"/>
        <w:rPr>
          <w:rFonts w:ascii="Times New Roman" w:hAnsi="Times New Roman" w:eastAsia="宋体" w:cs="Times New Roman"/>
          <w:lang w:bidi="ar"/>
        </w:rPr>
      </w:pPr>
    </w:p>
    <w:p>
      <w:pPr>
        <w:ind w:firstLine="630" w:firstLineChars="300"/>
        <w:rPr>
          <w:rFonts w:ascii="宋体" w:hAnsi="宋体" w:eastAsia="宋体" w:cs="Times New Roman"/>
          <w:szCs w:val="21"/>
        </w:rPr>
      </w:pPr>
    </w:p>
    <w:p>
      <w:pPr>
        <w:pStyle w:val="10"/>
        <w:jc w:val="center"/>
        <w:outlineLvl w:val="3"/>
        <w:rPr>
          <w:rFonts w:ascii="Times New Roman" w:hAnsi="Times New Roman" w:eastAsia="黑体" w:cs="Times New Roman"/>
          <w:bCs/>
        </w:rPr>
      </w:pPr>
      <w:bookmarkStart w:id="42" w:name="_Toc16566"/>
      <w:r>
        <w:rPr>
          <w:rFonts w:ascii="Times New Roman" w:hAnsi="Times New Roman" w:eastAsia="黑体" w:cs="Times New Roman"/>
          <w:bCs/>
        </w:rPr>
        <w:t>第15条   货物记录簿</w:t>
      </w:r>
      <w:bookmarkEnd w:id="42"/>
    </w:p>
    <w:p>
      <w:pPr>
        <w:rPr>
          <w:rFonts w:ascii="宋体" w:hAnsi="宋体" w:eastAsia="宋体" w:cs="Times New Roman"/>
          <w:szCs w:val="21"/>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原1改为：</w:t>
      </w:r>
    </w:p>
    <w:p>
      <w:pPr>
        <w:ind w:firstLine="420" w:firstLineChars="200"/>
        <w:rPr>
          <w:rFonts w:ascii="Times New Roman" w:hAnsi="Times New Roman" w:eastAsia="宋体" w:cs="Times New Roman"/>
          <w:color w:val="FF0000"/>
          <w:szCs w:val="21"/>
          <w:u w:val="single"/>
          <w:lang w:bidi="ar"/>
        </w:rPr>
      </w:pP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 xml:space="preserve">1  </w:t>
      </w:r>
      <w:r>
        <w:rPr>
          <w:rFonts w:ascii="Times New Roman" w:hAnsi="Times New Roman" w:eastAsia="宋体" w:cs="Times New Roman"/>
          <w:strike/>
          <w:color w:val="FF0000"/>
          <w:szCs w:val="21"/>
          <w:lang w:bidi="ar"/>
        </w:rPr>
        <w:t>凡本附则适用的船舶，应备有一本《货物记录簿》，记录簿不论是作为船舶正式航海日志的一部分或作为其他文件，均应按本附则附录2所规定的格式。</w:t>
      </w:r>
      <w:r>
        <w:rPr>
          <w:rFonts w:hint="eastAsia" w:ascii="Times New Roman" w:hAnsi="Times New Roman" w:eastAsia="宋体" w:cs="Times New Roman"/>
          <w:color w:val="FF0000"/>
          <w:szCs w:val="21"/>
          <w:u w:val="single"/>
          <w:lang w:bidi="ar"/>
        </w:rPr>
        <w:t>本附则适用的船舶，应备有一本《货物记录簿》，记录簿不论是作为船舶正式航海日志的一部分，还是作为应经主管机关考虑本组织制定的指南</w:t>
      </w:r>
      <w:bookmarkStart w:id="43" w:name="_Ref18655128"/>
      <w:r>
        <w:rPr>
          <w:rFonts w:ascii="Times New Roman" w:hAnsi="Times New Roman" w:eastAsia="宋体" w:cs="Times New Roman"/>
          <w:color w:val="FF0000"/>
          <w:szCs w:val="21"/>
          <w:u w:val="single"/>
          <w:vertAlign w:val="superscript"/>
          <w:lang w:bidi="ar"/>
        </w:rPr>
        <w:footnoteReference w:id="2"/>
      </w:r>
      <w:bookmarkEnd w:id="43"/>
      <w:r>
        <w:rPr>
          <w:rFonts w:hint="eastAsia" w:ascii="Times New Roman" w:hAnsi="Times New Roman" w:eastAsia="宋体" w:cs="Times New Roman"/>
          <w:color w:val="FF0000"/>
          <w:szCs w:val="21"/>
          <w:u w:val="single"/>
          <w:lang w:bidi="ar"/>
        </w:rPr>
        <w:t>予以批准的电子记录簿，或作为其他文件，均应按本附则附录II所规定的格式。</w:t>
      </w:r>
      <w:r>
        <w:rPr>
          <w:rFonts w:hint="eastAsia" w:ascii="Times New Roman" w:hAnsi="Times New Roman" w:eastAsia="宋体" w:cs="Times New Roman"/>
          <w:szCs w:val="21"/>
          <w:lang w:bidi="ar"/>
        </w:rPr>
        <w:t>”</w:t>
      </w:r>
    </w:p>
    <w:p>
      <w:pPr>
        <w:ind w:firstLine="420" w:firstLineChars="200"/>
        <w:rPr>
          <w:rFonts w:ascii="Times New Roman" w:hAnsi="Times New Roman" w:eastAsia="宋体" w:cs="Times New Roman"/>
          <w:color w:val="FF0000"/>
          <w:szCs w:val="21"/>
          <w:u w:val="single"/>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原4改为：</w:t>
      </w:r>
    </w:p>
    <w:p>
      <w:pPr>
        <w:ind w:firstLine="420" w:firstLineChars="200"/>
        <w:rPr>
          <w:rFonts w:ascii="Times New Roman" w:hAnsi="Times New Roman" w:eastAsia="宋体" w:cs="Times New Roman"/>
          <w:szCs w:val="21"/>
          <w:lang w:bidi="ar"/>
        </w:rPr>
      </w:pPr>
      <w:r>
        <w:rPr>
          <w:rFonts w:hint="eastAsia" w:ascii="Times New Roman" w:hAnsi="Times New Roman" w:eastAsia="宋体" w:cs="Times New Roman"/>
          <w:szCs w:val="21"/>
          <w:lang w:bidi="ar"/>
        </w:rPr>
        <w:t>“</w:t>
      </w:r>
      <w:r>
        <w:rPr>
          <w:rFonts w:ascii="Times New Roman" w:hAnsi="Times New Roman" w:eastAsia="宋体" w:cs="Times New Roman"/>
          <w:szCs w:val="21"/>
          <w:lang w:bidi="ar"/>
        </w:rPr>
        <w:t>4  每项记录应由负责该项作业的高级船员签字以及每填完一页</w:t>
      </w:r>
      <w:r>
        <w:rPr>
          <w:rFonts w:hint="eastAsia" w:ascii="Times New Roman" w:hAnsi="Times New Roman" w:eastAsia="宋体" w:cs="Times New Roman"/>
          <w:color w:val="FF0000"/>
          <w:szCs w:val="21"/>
          <w:u w:val="single"/>
          <w:lang w:bidi="ar"/>
        </w:rPr>
        <w:t>或一组电子记录</w:t>
      </w:r>
      <w:r>
        <w:rPr>
          <w:rFonts w:ascii="Times New Roman" w:hAnsi="Times New Roman" w:eastAsia="宋体" w:cs="Times New Roman"/>
          <w:szCs w:val="21"/>
          <w:lang w:bidi="ar"/>
        </w:rPr>
        <w:t>还应由船长签字。对持有《国际防止散装运输有毒液体物质污染证书》或本附则第7条所述证书的船舶，《货物记录簿》的记录至少应用英文、法文或西班牙文。如果记录用的是船旗国官方文字，则遇有争议或分歧的情况时，应以该</w:t>
      </w:r>
      <w:r>
        <w:rPr>
          <w:rFonts w:hint="eastAsia" w:ascii="Times New Roman" w:hAnsi="Times New Roman" w:eastAsia="宋体" w:cs="Times New Roman"/>
          <w:szCs w:val="21"/>
          <w:lang w:bidi="ar"/>
        </w:rPr>
        <w:t>官方</w:t>
      </w:r>
      <w:r>
        <w:rPr>
          <w:rFonts w:ascii="Times New Roman" w:hAnsi="Times New Roman" w:eastAsia="宋体" w:cs="Times New Roman"/>
          <w:szCs w:val="21"/>
          <w:lang w:bidi="ar"/>
        </w:rPr>
        <w:t>文字的记录为准。</w:t>
      </w:r>
      <w:r>
        <w:rPr>
          <w:rFonts w:hint="eastAsia" w:ascii="Times New Roman" w:hAnsi="Times New Roman" w:eastAsia="宋体" w:cs="Times New Roman"/>
          <w:szCs w:val="21"/>
          <w:lang w:bidi="ar"/>
        </w:rPr>
        <w:t>”</w:t>
      </w:r>
    </w:p>
    <w:p>
      <w:pPr>
        <w:ind w:firstLine="675"/>
        <w:rPr>
          <w:rFonts w:ascii="Times New Roman" w:hAnsi="宋体" w:eastAsia="宋体" w:cs="Times New Roman"/>
          <w:strike/>
          <w:szCs w:val="21"/>
        </w:rPr>
      </w:pPr>
    </w:p>
    <w:p>
      <w:pPr>
        <w:ind w:firstLine="420" w:firstLineChars="200"/>
        <w:rPr>
          <w:rFonts w:ascii="Times New Roman" w:hAnsi="Times New Roman" w:eastAsia="宋体" w:cs="Times New Roman"/>
          <w:szCs w:val="21"/>
          <w:lang w:bidi="ar"/>
        </w:rPr>
      </w:pPr>
    </w:p>
    <w:p>
      <w:pPr>
        <w:rPr>
          <w:rFonts w:ascii="宋体" w:hAnsi="宋体" w:eastAsia="宋体" w:cs="Times New Roman"/>
          <w:szCs w:val="21"/>
        </w:rPr>
      </w:pPr>
      <w:r>
        <w:rPr>
          <w:rFonts w:ascii="宋体" w:hAnsi="宋体" w:eastAsia="宋体" w:cs="Times New Roman"/>
          <w:szCs w:val="21"/>
        </w:rPr>
        <w:br w:type="page"/>
      </w:r>
    </w:p>
    <w:p>
      <w:pPr>
        <w:widowControl/>
        <w:ind w:firstLine="420" w:firstLineChars="200"/>
        <w:rPr>
          <w:rFonts w:ascii="楷体" w:hAnsi="楷体" w:eastAsia="楷体"/>
          <w:caps/>
          <w:kern w:val="32"/>
          <w:szCs w:val="21"/>
        </w:rPr>
      </w:pPr>
      <w:r>
        <w:rPr>
          <w:rFonts w:hint="eastAsia" w:ascii="楷体" w:hAnsi="楷体" w:eastAsia="楷体"/>
          <w:caps/>
          <w:kern w:val="32"/>
          <w:szCs w:val="21"/>
        </w:rPr>
        <w:t>原附录</w:t>
      </w:r>
      <w:r>
        <w:rPr>
          <w:rFonts w:hint="eastAsia" w:ascii="宋体" w:hAnsi="宋体" w:eastAsia="宋体" w:cs="宋体"/>
          <w:caps/>
          <w:kern w:val="32"/>
          <w:szCs w:val="21"/>
        </w:rPr>
        <w:t>Ⅰ</w:t>
      </w:r>
      <w:r>
        <w:rPr>
          <w:rFonts w:hint="eastAsia" w:ascii="楷体" w:hAnsi="楷体" w:eastAsia="楷体"/>
          <w:caps/>
          <w:kern w:val="32"/>
          <w:szCs w:val="21"/>
        </w:rPr>
        <w:t>改为：</w:t>
      </w:r>
    </w:p>
    <w:p>
      <w:pPr>
        <w:pStyle w:val="10"/>
        <w:jc w:val="center"/>
        <w:outlineLvl w:val="3"/>
        <w:rPr>
          <w:rFonts w:hAnsi="宋体" w:eastAsia="宋体" w:cs="宋体"/>
          <w:bCs/>
        </w:rPr>
      </w:pPr>
      <w:bookmarkStart w:id="44" w:name="_Toc23607"/>
      <w:r>
        <w:rPr>
          <w:rFonts w:hint="eastAsia" w:hAnsi="宋体" w:eastAsia="宋体" w:cs="宋体"/>
          <w:bCs/>
        </w:rPr>
        <w:t>“</w:t>
      </w:r>
      <w:r>
        <w:rPr>
          <w:rFonts w:ascii="Times New Roman" w:hAnsi="Times New Roman" w:eastAsia="黑体" w:cs="Times New Roman"/>
          <w:sz w:val="32"/>
          <w:szCs w:val="32"/>
          <w:lang w:bidi="ar"/>
        </w:rPr>
        <w:t>附录Ⅰ 有毒液体物质的分类指南</w:t>
      </w:r>
      <w:r>
        <w:rPr>
          <w:rStyle w:val="33"/>
          <w:rFonts w:ascii="Times New Roman" w:hAnsi="Times New Roman" w:eastAsia="黑体" w:cs="Times New Roman"/>
          <w:color w:val="FF0000"/>
          <w:sz w:val="32"/>
          <w:szCs w:val="32"/>
          <w:lang w:bidi="ar"/>
        </w:rPr>
        <w:footnoteReference w:id="3"/>
      </w:r>
      <w:r>
        <w:rPr>
          <w:rFonts w:hint="eastAsia" w:hAnsi="宋体" w:eastAsia="宋体" w:cs="宋体"/>
          <w:bCs/>
        </w:rPr>
        <w:t>”</w:t>
      </w:r>
      <w:bookmarkEnd w:id="44"/>
    </w:p>
    <w:p>
      <w:pPr>
        <w:rPr>
          <w:rFonts w:ascii="宋体" w:hAnsi="宋体" w:eastAsia="宋体" w:cs="Times New Roman"/>
          <w:b/>
          <w:szCs w:val="21"/>
        </w:rPr>
      </w:pPr>
      <w:r>
        <w:rPr>
          <w:rFonts w:ascii="宋体" w:hAnsi="宋体" w:eastAsia="宋体" w:cs="Times New Roman"/>
          <w:b/>
          <w:szCs w:val="21"/>
        </w:rPr>
        <w:br w:type="page"/>
      </w:r>
    </w:p>
    <w:p>
      <w:pPr>
        <w:pStyle w:val="35"/>
        <w:outlineLvl w:val="0"/>
        <w:rPr>
          <w:rFonts w:hint="default" w:ascii="Times New Roman" w:hAnsi="Times New Roman" w:cs="Times New Roman"/>
        </w:rPr>
      </w:pPr>
      <w:bookmarkStart w:id="45" w:name="_Toc94175469"/>
      <w:bookmarkStart w:id="46" w:name="_Toc29955"/>
      <w:r>
        <w:rPr>
          <w:rFonts w:ascii="Times New Roman" w:hAnsi="Times New Roman" w:cs="Times New Roman"/>
        </w:rPr>
        <w:t>第4章  防止船舶生活污水污染规则</w:t>
      </w:r>
      <w:bookmarkEnd w:id="45"/>
      <w:bookmarkEnd w:id="46"/>
    </w:p>
    <w:p>
      <w:pPr>
        <w:pStyle w:val="35"/>
        <w:rPr>
          <w:rFonts w:hint="default" w:ascii="Times New Roman" w:hAnsi="Times New Roman" w:cs="Times New Roman"/>
        </w:rPr>
      </w:pPr>
      <w:r>
        <w:rPr>
          <w:rFonts w:ascii="Times New Roman" w:hAnsi="Times New Roman" w:cs="Times New Roman"/>
        </w:rPr>
        <w:t>（MARPOL 附则 IV）</w:t>
      </w:r>
    </w:p>
    <w:p>
      <w:pPr>
        <w:pStyle w:val="35"/>
        <w:rPr>
          <w:rFonts w:hint="default" w:ascii="Times New Roman" w:hAnsi="Times New Roman" w:cs="Times New Roman"/>
        </w:rPr>
      </w:pPr>
    </w:p>
    <w:p>
      <w:pPr>
        <w:pStyle w:val="36"/>
        <w:rPr>
          <w:rFonts w:hint="default" w:ascii="Times New Roman" w:hAnsi="Times New Roman"/>
        </w:rPr>
      </w:pPr>
      <w:bookmarkStart w:id="47" w:name="_Toc31782"/>
      <w:bookmarkStart w:id="48" w:name="_Toc94175470"/>
      <w:r>
        <w:rPr>
          <w:rFonts w:ascii="宋体" w:hAnsi="宋体" w:eastAsia="宋体" w:cs="宋体"/>
        </w:rPr>
        <w:t>Ⅰ</w:t>
      </w:r>
      <w:r>
        <w:rPr>
          <w:rFonts w:ascii="Times New Roman" w:hAnsi="Times New Roman"/>
        </w:rPr>
        <w:t xml:space="preserve">  总    则</w:t>
      </w:r>
      <w:bookmarkEnd w:id="47"/>
      <w:bookmarkEnd w:id="48"/>
    </w:p>
    <w:p>
      <w:pPr>
        <w:pStyle w:val="36"/>
        <w:outlineLvl w:val="9"/>
        <w:rPr>
          <w:rFonts w:hint="default" w:ascii="Times New Roman" w:hAnsi="Times New Roman"/>
        </w:rPr>
      </w:pPr>
    </w:p>
    <w:p>
      <w:pPr>
        <w:pStyle w:val="10"/>
        <w:jc w:val="center"/>
        <w:outlineLvl w:val="3"/>
        <w:rPr>
          <w:rFonts w:ascii="Times New Roman" w:hAnsi="Times New Roman" w:eastAsia="黑体"/>
          <w:bCs/>
        </w:rPr>
      </w:pPr>
      <w:bookmarkStart w:id="49" w:name="_Toc30683"/>
      <w:r>
        <w:rPr>
          <w:rFonts w:hint="eastAsia" w:ascii="Times New Roman" w:hAnsi="Times New Roman" w:eastAsia="黑体"/>
          <w:bCs/>
        </w:rPr>
        <w:t>第1条  定    义</w:t>
      </w:r>
      <w:bookmarkEnd w:id="49"/>
    </w:p>
    <w:p>
      <w:pPr>
        <w:pStyle w:val="10"/>
      </w:pPr>
    </w:p>
    <w:p>
      <w:pPr>
        <w:widowControl/>
        <w:ind w:firstLine="420" w:firstLineChars="200"/>
        <w:rPr>
          <w:rFonts w:ascii="楷体" w:hAnsi="楷体" w:eastAsia="楷体"/>
          <w:caps/>
          <w:kern w:val="32"/>
          <w:szCs w:val="21"/>
        </w:rPr>
      </w:pPr>
      <w:r>
        <w:rPr>
          <w:rFonts w:ascii="楷体" w:hAnsi="楷体" w:eastAsia="楷体"/>
          <w:caps/>
          <w:kern w:val="32"/>
          <w:szCs w:val="21"/>
        </w:rPr>
        <w:t>新增16如下：</w:t>
      </w:r>
    </w:p>
    <w:p>
      <w:pPr>
        <w:adjustRightInd w:val="0"/>
        <w:snapToGrid w:val="0"/>
        <w:ind w:firstLine="420" w:firstLineChars="200"/>
        <w:jc w:val="left"/>
        <w:rPr>
          <w:rFonts w:ascii="Times New Roman" w:hAnsi="Times New Roman" w:cs="Times New Roman"/>
          <w:color w:val="FF0000"/>
          <w:szCs w:val="21"/>
          <w:u w:val="single"/>
          <w:lang w:bidi="ar"/>
        </w:rPr>
      </w:pPr>
      <w:r>
        <w:rPr>
          <w:rFonts w:hint="eastAsia" w:ascii="宋体" w:hAnsi="宋体" w:eastAsia="宋体" w:cs="宋体"/>
          <w:szCs w:val="21"/>
          <w:lang w:bidi="ar"/>
        </w:rPr>
        <w:t>“</w:t>
      </w:r>
      <w:r>
        <w:rPr>
          <w:rFonts w:ascii="Times New Roman" w:hAnsi="Times New Roman" w:cs="Times New Roman"/>
          <w:color w:val="FF0000"/>
          <w:szCs w:val="21"/>
          <w:u w:val="single"/>
          <w:lang w:bidi="ar"/>
        </w:rPr>
        <w:t>16  无人非自航驳船系指如下的驳船：</w:t>
      </w:r>
    </w:p>
    <w:p>
      <w:pPr>
        <w:adjustRightInd w:val="0"/>
        <w:snapToGrid w:val="0"/>
        <w:ind w:firstLine="420" w:firstLineChars="200"/>
        <w:jc w:val="left"/>
        <w:rPr>
          <w:rFonts w:ascii="Times New Roman" w:hAnsi="Times New Roman" w:cs="Times New Roman"/>
          <w:szCs w:val="21"/>
          <w:lang w:bidi="ar"/>
        </w:rPr>
      </w:pPr>
      <w:r>
        <w:rPr>
          <w:rFonts w:ascii="Times New Roman" w:hAnsi="Times New Roman" w:cs="Times New Roman"/>
          <w:color w:val="FF0000"/>
          <w:szCs w:val="21"/>
          <w:lang w:bidi="ar"/>
        </w:rPr>
        <w:t xml:space="preserve">   </w:t>
      </w:r>
      <w:r>
        <w:rPr>
          <w:rFonts w:ascii="Times New Roman" w:hAnsi="Times New Roman" w:cs="Times New Roman"/>
          <w:szCs w:val="21"/>
          <w:lang w:bidi="ar"/>
        </w:rPr>
        <w:t xml:space="preserve"> .1  非机械方式推进；</w:t>
      </w:r>
    </w:p>
    <w:p>
      <w:pPr>
        <w:adjustRightInd w:val="0"/>
        <w:snapToGrid w:val="0"/>
        <w:ind w:firstLine="420" w:firstLineChars="200"/>
        <w:jc w:val="left"/>
        <w:rPr>
          <w:rFonts w:ascii="Times New Roman" w:hAnsi="Times New Roman" w:cs="Times New Roman"/>
          <w:szCs w:val="21"/>
          <w:lang w:bidi="ar"/>
        </w:rPr>
      </w:pPr>
      <w:r>
        <w:rPr>
          <w:rFonts w:ascii="Times New Roman" w:hAnsi="Times New Roman" w:cs="Times New Roman"/>
          <w:szCs w:val="21"/>
          <w:lang w:bidi="ar"/>
        </w:rPr>
        <w:t xml:space="preserve">    .2  船上没有人或活的动物；</w:t>
      </w:r>
    </w:p>
    <w:p>
      <w:pPr>
        <w:adjustRightInd w:val="0"/>
        <w:snapToGrid w:val="0"/>
        <w:ind w:firstLine="420" w:firstLineChars="200"/>
        <w:jc w:val="left"/>
        <w:rPr>
          <w:rFonts w:ascii="Times New Roman" w:hAnsi="Times New Roman" w:cs="Times New Roman"/>
          <w:szCs w:val="21"/>
          <w:lang w:bidi="ar"/>
        </w:rPr>
      </w:pPr>
      <w:r>
        <w:rPr>
          <w:rFonts w:ascii="Times New Roman" w:hAnsi="Times New Roman" w:cs="Times New Roman"/>
          <w:szCs w:val="21"/>
          <w:lang w:bidi="ar"/>
        </w:rPr>
        <w:t xml:space="preserve">    .3  运输过程中不用于存放生活污水；和</w:t>
      </w:r>
    </w:p>
    <w:p>
      <w:pPr>
        <w:adjustRightInd w:val="0"/>
        <w:snapToGrid w:val="0"/>
        <w:ind w:firstLine="420" w:firstLineChars="200"/>
        <w:jc w:val="left"/>
        <w:rPr>
          <w:color w:val="FF0000"/>
          <w:szCs w:val="21"/>
          <w:u w:val="single"/>
          <w:lang w:bidi="ar"/>
        </w:rPr>
      </w:pPr>
      <w:r>
        <w:rPr>
          <w:rFonts w:ascii="Times New Roman" w:hAnsi="Times New Roman" w:cs="Times New Roman"/>
          <w:szCs w:val="21"/>
          <w:lang w:bidi="ar"/>
        </w:rPr>
        <w:t xml:space="preserve">    .4  未安</w:t>
      </w:r>
      <w:r>
        <w:rPr>
          <w:rFonts w:hint="eastAsia"/>
          <w:szCs w:val="21"/>
          <w:lang w:bidi="ar"/>
        </w:rPr>
        <w:t>装可能产生本附则第</w:t>
      </w:r>
      <w:r>
        <w:rPr>
          <w:szCs w:val="21"/>
          <w:lang w:bidi="ar"/>
        </w:rPr>
        <w:t>1.3</w:t>
      </w:r>
      <w:r>
        <w:rPr>
          <w:rFonts w:hint="eastAsia"/>
          <w:szCs w:val="21"/>
          <w:lang w:bidi="ar"/>
        </w:rPr>
        <w:t>条定义的生活污水的装置。”</w:t>
      </w:r>
    </w:p>
    <w:p>
      <w:pPr>
        <w:adjustRightInd w:val="0"/>
        <w:snapToGrid w:val="0"/>
        <w:ind w:firstLine="420" w:firstLineChars="200"/>
        <w:jc w:val="left"/>
        <w:rPr>
          <w:color w:val="0000FF"/>
          <w:szCs w:val="21"/>
          <w:u w:val="single"/>
          <w:lang w:bidi="ar"/>
        </w:rPr>
      </w:pPr>
    </w:p>
    <w:p>
      <w:pPr>
        <w:adjustRightInd w:val="0"/>
        <w:snapToGrid w:val="0"/>
        <w:ind w:firstLine="420" w:firstLineChars="200"/>
        <w:jc w:val="left"/>
        <w:rPr>
          <w:szCs w:val="21"/>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原第3条标题改为：</w:t>
      </w:r>
    </w:p>
    <w:p>
      <w:pPr>
        <w:pStyle w:val="10"/>
        <w:jc w:val="center"/>
        <w:outlineLvl w:val="3"/>
        <w:rPr>
          <w:rFonts w:hAnsi="宋体"/>
          <w:b/>
          <w:color w:val="FF0000"/>
        </w:rPr>
      </w:pPr>
      <w:bookmarkStart w:id="50" w:name="_Toc79"/>
      <w:r>
        <w:rPr>
          <w:rFonts w:hint="eastAsia" w:hAnsi="宋体"/>
          <w:bCs/>
        </w:rPr>
        <w:t>“</w:t>
      </w:r>
      <w:r>
        <w:rPr>
          <w:rFonts w:hint="eastAsia" w:ascii="Times New Roman" w:hAnsi="Times New Roman" w:eastAsia="黑体"/>
          <w:bCs/>
        </w:rPr>
        <w:t>第3条  例外</w:t>
      </w:r>
      <w:r>
        <w:rPr>
          <w:rFonts w:hint="eastAsia" w:ascii="Times New Roman" w:hAnsi="Times New Roman" w:eastAsia="黑体"/>
          <w:bCs/>
          <w:color w:val="FF0000"/>
          <w:u w:val="single"/>
        </w:rPr>
        <w:t>和免除</w:t>
      </w:r>
      <w:r>
        <w:rPr>
          <w:rFonts w:hint="eastAsia" w:hAnsi="宋体"/>
          <w:bCs/>
        </w:rPr>
        <w:t>”</w:t>
      </w:r>
      <w:bookmarkEnd w:id="50"/>
    </w:p>
    <w:p>
      <w:pPr>
        <w:adjustRightInd w:val="0"/>
        <w:snapToGrid w:val="0"/>
        <w:jc w:val="left"/>
        <w:rPr>
          <w:szCs w:val="21"/>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自2022年11月1日起，</w:t>
      </w:r>
      <w:r>
        <w:rPr>
          <w:rFonts w:ascii="楷体" w:hAnsi="楷体" w:eastAsia="楷体"/>
          <w:caps/>
          <w:kern w:val="32"/>
          <w:szCs w:val="21"/>
        </w:rPr>
        <w:t>新增2如下：</w:t>
      </w:r>
    </w:p>
    <w:p>
      <w:pPr>
        <w:adjustRightInd w:val="0"/>
        <w:snapToGrid w:val="0"/>
        <w:ind w:firstLine="420" w:firstLineChars="200"/>
        <w:jc w:val="left"/>
        <w:rPr>
          <w:rFonts w:ascii="Times New Roman" w:hAnsi="Times New Roman" w:eastAsia="宋体" w:cs="Times New Roman"/>
          <w:szCs w:val="21"/>
          <w:u w:val="single"/>
          <w:lang w:bidi="ar"/>
        </w:rPr>
      </w:pPr>
      <w:r>
        <w:rPr>
          <w:rFonts w:hint="eastAsia" w:ascii="宋体" w:hAnsi="宋体" w:eastAsia="宋体" w:cs="宋体"/>
          <w:szCs w:val="21"/>
          <w:lang w:bidi="ar"/>
        </w:rPr>
        <w:t>“</w:t>
      </w:r>
      <w:r>
        <w:rPr>
          <w:rFonts w:ascii="Times New Roman" w:hAnsi="Times New Roman" w:eastAsia="宋体" w:cs="Times New Roman"/>
          <w:color w:val="FF0000"/>
          <w:szCs w:val="21"/>
          <w:u w:val="single"/>
          <w:lang w:bidi="ar"/>
        </w:rPr>
        <w:t>2   主管机关可通过签发无人非自航（UNSP）驳船国际防止生活污水污染免除证书，免除无人非自航（UNSP）驳船</w:t>
      </w:r>
      <w:r>
        <w:rPr>
          <w:rFonts w:ascii="Times New Roman" w:hAnsi="Times New Roman" w:eastAsia="宋体" w:cs="Times New Roman"/>
          <w:color w:val="FF0000"/>
          <w:szCs w:val="21"/>
          <w:u w:val="single"/>
          <w:vertAlign w:val="superscript"/>
          <w:lang w:bidi="ar"/>
        </w:rPr>
        <w:footnoteReference w:id="4"/>
      </w:r>
      <w:r>
        <w:rPr>
          <w:rFonts w:ascii="Times New Roman" w:hAnsi="Times New Roman" w:eastAsia="宋体" w:cs="Times New Roman"/>
          <w:color w:val="FF0000"/>
          <w:szCs w:val="21"/>
          <w:u w:val="single"/>
          <w:lang w:bidi="ar"/>
        </w:rPr>
        <w:t>满足本附则第4.1条和第5.1条的要求，免除时间不超过五年，且前提是已对该无人非自航驳船进行检验以确认其符合本附则第1.16.1至第1.16.4条规定的条件。</w:t>
      </w:r>
      <w:r>
        <w:rPr>
          <w:rFonts w:hint="eastAsia" w:ascii="宋体" w:hAnsi="宋体" w:eastAsia="宋体" w:cs="宋体"/>
          <w:szCs w:val="21"/>
          <w:lang w:bidi="ar"/>
        </w:rPr>
        <w:t>”</w:t>
      </w:r>
    </w:p>
    <w:p>
      <w:pPr>
        <w:adjustRightInd w:val="0"/>
        <w:snapToGrid w:val="0"/>
        <w:ind w:firstLine="420" w:firstLineChars="200"/>
        <w:jc w:val="left"/>
        <w:rPr>
          <w:color w:val="0000FF"/>
          <w:szCs w:val="21"/>
          <w:lang w:bidi="ar"/>
        </w:rPr>
      </w:pPr>
    </w:p>
    <w:p>
      <w:pPr>
        <w:adjustRightInd w:val="0"/>
        <w:snapToGrid w:val="0"/>
        <w:jc w:val="left"/>
        <w:rPr>
          <w:rFonts w:ascii="宋体" w:hAnsi="宋体"/>
          <w:szCs w:val="21"/>
        </w:rPr>
      </w:pPr>
    </w:p>
    <w:p>
      <w:pPr>
        <w:pStyle w:val="10"/>
        <w:jc w:val="center"/>
        <w:outlineLvl w:val="3"/>
        <w:rPr>
          <w:rFonts w:ascii="Times New Roman" w:hAnsi="Times New Roman" w:eastAsia="黑体"/>
          <w:bCs/>
        </w:rPr>
      </w:pPr>
      <w:bookmarkStart w:id="51" w:name="_Toc10089"/>
      <w:r>
        <w:rPr>
          <w:rFonts w:hint="eastAsia" w:ascii="Times New Roman" w:hAnsi="Times New Roman" w:eastAsia="黑体"/>
          <w:bCs/>
        </w:rPr>
        <w:t>第6条  他国政府签发或签署证书</w:t>
      </w:r>
      <w:bookmarkEnd w:id="51"/>
    </w:p>
    <w:p>
      <w:pPr>
        <w:adjustRightInd w:val="0"/>
        <w:snapToGrid w:val="0"/>
        <w:rPr>
          <w:rFonts w:ascii="宋体" w:hAnsi="宋体"/>
          <w:szCs w:val="21"/>
        </w:rPr>
      </w:pPr>
      <w:r>
        <w:rPr>
          <w:rFonts w:hint="eastAsia" w:ascii="宋体" w:hAnsi="宋体"/>
          <w:szCs w:val="21"/>
        </w:rPr>
        <w:t xml:space="preserve">    </w:t>
      </w:r>
    </w:p>
    <w:p>
      <w:pPr>
        <w:widowControl/>
        <w:ind w:firstLine="420" w:firstLineChars="200"/>
        <w:rPr>
          <w:rFonts w:ascii="楷体" w:hAnsi="楷体" w:eastAsia="楷体"/>
          <w:caps/>
          <w:kern w:val="32"/>
          <w:szCs w:val="21"/>
        </w:rPr>
      </w:pPr>
      <w:r>
        <w:rPr>
          <w:rFonts w:ascii="楷体" w:hAnsi="楷体" w:eastAsia="楷体"/>
          <w:caps/>
          <w:kern w:val="32"/>
          <w:szCs w:val="21"/>
        </w:rPr>
        <w:t>原4改为：</w:t>
      </w:r>
    </w:p>
    <w:p>
      <w:pPr>
        <w:adjustRightInd w:val="0"/>
        <w:snapToGrid w:val="0"/>
        <w:ind w:firstLine="420" w:firstLineChars="200"/>
        <w:jc w:val="left"/>
        <w:rPr>
          <w:szCs w:val="21"/>
          <w:lang w:bidi="ar"/>
        </w:rPr>
      </w:pPr>
      <w:r>
        <w:rPr>
          <w:rFonts w:hint="eastAsia" w:ascii="宋体" w:hAnsi="宋体" w:eastAsia="宋体" w:cs="宋体"/>
          <w:szCs w:val="21"/>
          <w:lang w:bidi="ar"/>
        </w:rPr>
        <w:t>“</w:t>
      </w:r>
      <w:r>
        <w:rPr>
          <w:rFonts w:ascii="Times New Roman" w:hAnsi="Times New Roman" w:cs="Times New Roman"/>
          <w:szCs w:val="21"/>
          <w:lang w:bidi="ar"/>
        </w:rPr>
        <w:t xml:space="preserve">4   </w:t>
      </w:r>
      <w:r>
        <w:rPr>
          <w:rFonts w:hint="eastAsia"/>
          <w:szCs w:val="21"/>
          <w:lang w:bidi="ar"/>
        </w:rPr>
        <w:t>对</w:t>
      </w:r>
      <w:r>
        <w:rPr>
          <w:rFonts w:ascii="Times New Roman" w:hAnsi="Times New Roman" w:cs="Times New Roman"/>
          <w:szCs w:val="21"/>
          <w:lang w:bidi="ar"/>
        </w:rPr>
        <w:t>于悬挂非缔约国国旗的船舶，不得发给《国际防止生活污水污染证书》</w:t>
      </w:r>
      <w:r>
        <w:rPr>
          <w:rFonts w:ascii="Times New Roman" w:hAnsi="Times New Roman" w:cs="Times New Roman"/>
          <w:color w:val="FF0000"/>
          <w:szCs w:val="21"/>
          <w:u w:val="single"/>
          <w:lang w:bidi="ar"/>
        </w:rPr>
        <w:t>或《国际无人非自航驳船（UNSP）防</w:t>
      </w:r>
      <w:r>
        <w:rPr>
          <w:rFonts w:hint="eastAsia"/>
          <w:color w:val="FF0000"/>
          <w:szCs w:val="21"/>
          <w:u w:val="single"/>
          <w:lang w:bidi="ar"/>
        </w:rPr>
        <w:t>止生活污水污染免除证书》。</w:t>
      </w:r>
      <w:r>
        <w:rPr>
          <w:rFonts w:hint="eastAsia"/>
          <w:szCs w:val="21"/>
          <w:lang w:bidi="ar"/>
        </w:rPr>
        <w:t>”</w:t>
      </w:r>
    </w:p>
    <w:p>
      <w:pPr>
        <w:adjustRightInd w:val="0"/>
        <w:snapToGrid w:val="0"/>
        <w:ind w:firstLine="420" w:firstLineChars="200"/>
        <w:jc w:val="left"/>
        <w:rPr>
          <w:color w:val="0000FF"/>
          <w:szCs w:val="21"/>
          <w:lang w:bidi="ar"/>
        </w:rPr>
      </w:pPr>
    </w:p>
    <w:p>
      <w:pPr>
        <w:adjustRightInd w:val="0"/>
        <w:snapToGrid w:val="0"/>
        <w:ind w:firstLine="420" w:firstLineChars="200"/>
        <w:jc w:val="left"/>
        <w:rPr>
          <w:color w:val="0000FF"/>
          <w:szCs w:val="21"/>
          <w:lang w:bidi="ar"/>
        </w:rPr>
      </w:pPr>
    </w:p>
    <w:p>
      <w:pPr>
        <w:pStyle w:val="10"/>
        <w:jc w:val="center"/>
        <w:outlineLvl w:val="3"/>
        <w:rPr>
          <w:rFonts w:ascii="Times New Roman" w:hAnsi="Times New Roman" w:eastAsia="黑体"/>
          <w:bCs/>
        </w:rPr>
      </w:pPr>
      <w:bookmarkStart w:id="52" w:name="_Toc5929"/>
      <w:r>
        <w:rPr>
          <w:rFonts w:hint="eastAsia" w:ascii="Times New Roman" w:hAnsi="Times New Roman" w:eastAsia="黑体"/>
          <w:bCs/>
        </w:rPr>
        <w:t>第</w:t>
      </w:r>
      <w:r>
        <w:rPr>
          <w:rFonts w:hint="eastAsia" w:ascii="Times New Roman" w:hAnsi="Times New Roman" w:eastAsia="黑体"/>
          <w:b/>
        </w:rPr>
        <w:t>7</w:t>
      </w:r>
      <w:r>
        <w:rPr>
          <w:rFonts w:hint="eastAsia" w:ascii="Times New Roman" w:hAnsi="Times New Roman" w:eastAsia="黑体"/>
          <w:bCs/>
        </w:rPr>
        <w:t>条  证书格式</w:t>
      </w:r>
      <w:bookmarkEnd w:id="52"/>
    </w:p>
    <w:p>
      <w:pPr>
        <w:adjustRightInd w:val="0"/>
        <w:snapToGrid w:val="0"/>
        <w:ind w:firstLine="424" w:firstLineChars="202"/>
        <w:rPr>
          <w:color w:val="FF0000"/>
          <w:szCs w:val="21"/>
          <w:u w:val="single"/>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w:t>
      </w:r>
      <w:r>
        <w:rPr>
          <w:rFonts w:ascii="楷体" w:hAnsi="楷体" w:eastAsia="楷体"/>
          <w:caps/>
          <w:kern w:val="32"/>
          <w:szCs w:val="21"/>
        </w:rPr>
        <w:t>1</w:t>
      </w:r>
      <w:r>
        <w:rPr>
          <w:rFonts w:hint="eastAsia" w:ascii="楷体" w:hAnsi="楷体" w:eastAsia="楷体"/>
          <w:caps/>
          <w:kern w:val="32"/>
          <w:szCs w:val="21"/>
        </w:rPr>
        <w:t>改为：</w:t>
      </w:r>
    </w:p>
    <w:p>
      <w:pPr>
        <w:adjustRightInd w:val="0"/>
        <w:snapToGrid w:val="0"/>
        <w:ind w:firstLine="424" w:firstLineChars="202"/>
        <w:rPr>
          <w:szCs w:val="21"/>
          <w:lang w:bidi="ar"/>
        </w:rPr>
      </w:pPr>
      <w:r>
        <w:rPr>
          <w:rFonts w:hint="eastAsia"/>
          <w:szCs w:val="21"/>
          <w:lang w:bidi="ar"/>
        </w:rPr>
        <w:t>“</w:t>
      </w:r>
      <w:r>
        <w:rPr>
          <w:rFonts w:ascii="Times New Roman" w:hAnsi="Times New Roman" w:cs="Times New Roman"/>
          <w:szCs w:val="21"/>
          <w:lang w:bidi="ar"/>
        </w:rPr>
        <w:t>1</w:t>
      </w:r>
      <w:r>
        <w:rPr>
          <w:rFonts w:hint="eastAsia"/>
          <w:szCs w:val="21"/>
          <w:lang w:bidi="ar"/>
        </w:rPr>
        <w:t xml:space="preserve">  《国际防止生活污水污染证书》应按与本附则附录</w:t>
      </w:r>
      <w:r>
        <w:rPr>
          <w:rFonts w:ascii="Times New Roman" w:hAnsi="Times New Roman" w:cs="Times New Roman"/>
          <w:color w:val="FF0000"/>
          <w:szCs w:val="21"/>
          <w:u w:val="single"/>
          <w:lang w:bidi="ar"/>
        </w:rPr>
        <w:t>I</w:t>
      </w:r>
      <w:r>
        <w:rPr>
          <w:rFonts w:hint="eastAsia"/>
          <w:szCs w:val="21"/>
          <w:lang w:bidi="ar"/>
        </w:rPr>
        <w:t>中所示样本相一致的格式写成，并至少使用英文、法文或西班牙文的文字之一。若同时使用发证国的官方文字，则在遇有争议或不相一致的情况时，应以发证国官方文字记录为准。”</w:t>
      </w:r>
    </w:p>
    <w:p>
      <w:pPr>
        <w:adjustRightInd w:val="0"/>
        <w:snapToGrid w:val="0"/>
        <w:ind w:firstLine="424" w:firstLineChars="202"/>
        <w:rPr>
          <w:szCs w:val="21"/>
          <w:lang w:bidi="ar"/>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新增2如下：</w:t>
      </w:r>
    </w:p>
    <w:p>
      <w:pPr>
        <w:adjustRightInd w:val="0"/>
        <w:snapToGrid w:val="0"/>
        <w:ind w:firstLine="424" w:firstLineChars="202"/>
        <w:rPr>
          <w:szCs w:val="21"/>
          <w:lang w:bidi="ar"/>
        </w:rPr>
      </w:pPr>
      <w:r>
        <w:rPr>
          <w:rFonts w:hint="eastAsia"/>
          <w:szCs w:val="21"/>
          <w:lang w:bidi="ar"/>
        </w:rPr>
        <w:t>“</w:t>
      </w:r>
      <w:r>
        <w:rPr>
          <w:rFonts w:hint="eastAsia"/>
          <w:color w:val="FF0000"/>
          <w:szCs w:val="21"/>
          <w:u w:val="single"/>
          <w:lang w:bidi="ar"/>
        </w:rPr>
        <w:t>2  《国际无人非自航驳船（</w:t>
      </w:r>
      <w:r>
        <w:rPr>
          <w:color w:val="FF0000"/>
          <w:szCs w:val="21"/>
          <w:u w:val="single"/>
          <w:lang w:bidi="ar"/>
        </w:rPr>
        <w:t>UNSP</w:t>
      </w:r>
      <w:r>
        <w:rPr>
          <w:rFonts w:hint="eastAsia"/>
          <w:color w:val="FF0000"/>
          <w:szCs w:val="21"/>
          <w:u w:val="single"/>
          <w:lang w:bidi="ar"/>
        </w:rPr>
        <w:t>）防止生活污水污染免除证书》应按与本附则附录</w:t>
      </w:r>
      <w:r>
        <w:rPr>
          <w:color w:val="FF0000"/>
          <w:szCs w:val="21"/>
          <w:u w:val="single"/>
          <w:lang w:bidi="ar"/>
        </w:rPr>
        <w:t>II</w:t>
      </w:r>
      <w:r>
        <w:rPr>
          <w:rFonts w:hint="eastAsia"/>
          <w:color w:val="FF0000"/>
          <w:szCs w:val="21"/>
          <w:u w:val="single"/>
          <w:lang w:bidi="ar"/>
        </w:rPr>
        <w:t>所示样本相一致的格式写成，并至少使用英文、法文或西班牙文的文字之一。若同时使用发证国的官方文字，则在遇有争议或不相一致的情况时，应以发证国官方文字记录为准。</w:t>
      </w:r>
      <w:r>
        <w:rPr>
          <w:rFonts w:hint="eastAsia"/>
          <w:szCs w:val="21"/>
          <w:lang w:bidi="ar"/>
        </w:rPr>
        <w:t>”</w:t>
      </w:r>
    </w:p>
    <w:p>
      <w:pPr>
        <w:adjustRightInd w:val="0"/>
        <w:snapToGrid w:val="0"/>
        <w:ind w:firstLine="424" w:firstLineChars="202"/>
        <w:rPr>
          <w:szCs w:val="21"/>
          <w:lang w:bidi="ar"/>
        </w:rPr>
      </w:pPr>
    </w:p>
    <w:p>
      <w:pPr>
        <w:widowControl/>
        <w:jc w:val="left"/>
      </w:pPr>
      <w:r>
        <w:br w:type="page"/>
      </w:r>
    </w:p>
    <w:p>
      <w:pPr>
        <w:widowControl/>
        <w:ind w:firstLine="420" w:firstLineChars="200"/>
        <w:rPr>
          <w:rFonts w:ascii="楷体" w:hAnsi="楷体" w:eastAsia="楷体"/>
          <w:caps/>
          <w:kern w:val="32"/>
          <w:szCs w:val="21"/>
        </w:rPr>
      </w:pPr>
      <w:bookmarkStart w:id="53" w:name="_Toc94175477"/>
      <w:r>
        <w:rPr>
          <w:rFonts w:hint="eastAsia" w:ascii="楷体" w:hAnsi="楷体" w:eastAsia="楷体"/>
          <w:caps/>
          <w:kern w:val="32"/>
          <w:szCs w:val="21"/>
        </w:rPr>
        <w:t>原附录改为：</w:t>
      </w:r>
    </w:p>
    <w:p>
      <w:pPr>
        <w:pStyle w:val="10"/>
        <w:jc w:val="center"/>
        <w:outlineLvl w:val="0"/>
        <w:rPr>
          <w:rFonts w:ascii="黑体" w:hAnsi="黑体" w:eastAsia="黑体" w:cs="Times New Roman"/>
          <w:sz w:val="32"/>
          <w:szCs w:val="32"/>
          <w:lang w:bidi="ar"/>
        </w:rPr>
      </w:pPr>
      <w:bookmarkStart w:id="54" w:name="_Toc25974"/>
      <w:r>
        <w:rPr>
          <w:rFonts w:hint="eastAsia" w:hAnsi="宋体" w:eastAsia="宋体" w:cs="宋体"/>
          <w:lang w:bidi="ar"/>
        </w:rPr>
        <w:t>“</w:t>
      </w:r>
      <w:r>
        <w:rPr>
          <w:rFonts w:hint="eastAsia" w:ascii="黑体" w:hAnsi="黑体" w:eastAsia="黑体" w:cs="Times New Roman"/>
          <w:sz w:val="32"/>
          <w:szCs w:val="32"/>
          <w:lang w:bidi="ar"/>
        </w:rPr>
        <w:t>附录</w:t>
      </w:r>
      <w:r>
        <w:rPr>
          <w:rFonts w:ascii="Times New Roman" w:hAnsi="Times New Roman" w:eastAsia="黑体" w:cs="Times New Roman"/>
          <w:color w:val="FF0000"/>
          <w:sz w:val="32"/>
          <w:szCs w:val="32"/>
          <w:u w:val="single"/>
          <w:lang w:bidi="ar"/>
        </w:rPr>
        <w:t>I</w:t>
      </w:r>
      <w:r>
        <w:rPr>
          <w:rFonts w:hint="eastAsia" w:ascii="Times New Roman" w:hAnsi="Times New Roman" w:eastAsia="黑体" w:cs="Times New Roman"/>
          <w:color w:val="FF0000"/>
          <w:sz w:val="32"/>
          <w:szCs w:val="32"/>
          <w:lang w:bidi="ar"/>
        </w:rPr>
        <w:t xml:space="preserve">  </w:t>
      </w:r>
      <w:r>
        <w:rPr>
          <w:rFonts w:hint="eastAsia" w:ascii="黑体" w:hAnsi="黑体" w:eastAsia="黑体" w:cs="Times New Roman"/>
          <w:sz w:val="32"/>
          <w:szCs w:val="32"/>
          <w:lang w:bidi="ar"/>
        </w:rPr>
        <w:t>国际防止生活污水污染证书格式</w:t>
      </w:r>
      <w:r>
        <w:rPr>
          <w:rStyle w:val="33"/>
          <w:b/>
        </w:rPr>
        <w:footnoteReference w:id="5"/>
      </w:r>
      <w:bookmarkEnd w:id="53"/>
      <w:bookmarkEnd w:id="54"/>
    </w:p>
    <w:p>
      <w:pPr>
        <w:adjustRightInd w:val="0"/>
        <w:snapToGrid w:val="0"/>
        <w:ind w:firstLine="426" w:firstLineChars="202"/>
        <w:jc w:val="center"/>
        <w:rPr>
          <w:rFonts w:ascii="宋体" w:hAnsi="宋体"/>
          <w:b/>
          <w:szCs w:val="21"/>
        </w:rPr>
      </w:pPr>
      <w:r>
        <w:rPr>
          <w:rFonts w:hint="eastAsia"/>
          <w:b/>
          <w:szCs w:val="21"/>
        </w:rPr>
        <w:t>（略）</w:t>
      </w:r>
      <w:r>
        <w:rPr>
          <w:rFonts w:hint="eastAsia" w:ascii="宋体" w:hAnsi="宋体" w:eastAsia="宋体" w:cs="宋体"/>
          <w:szCs w:val="21"/>
          <w:lang w:bidi="ar"/>
        </w:rPr>
        <w:t>”</w:t>
      </w:r>
    </w:p>
    <w:p>
      <w:pPr>
        <w:pStyle w:val="10"/>
        <w:autoSpaceDE w:val="0"/>
        <w:autoSpaceDN w:val="0"/>
        <w:adjustRightInd w:val="0"/>
        <w:jc w:val="center"/>
        <w:rPr>
          <w:rFonts w:hAnsi="宋体"/>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新增附录</w:t>
      </w:r>
      <w:r>
        <w:rPr>
          <w:rFonts w:ascii="Times New Roman" w:hAnsi="Times New Roman" w:eastAsia="楷体" w:cs="Times New Roman"/>
          <w:caps/>
          <w:kern w:val="32"/>
          <w:szCs w:val="21"/>
        </w:rPr>
        <w:t>II</w:t>
      </w:r>
      <w:r>
        <w:rPr>
          <w:rFonts w:hint="eastAsia" w:ascii="楷体" w:hAnsi="楷体" w:eastAsia="楷体"/>
          <w:caps/>
          <w:kern w:val="32"/>
          <w:szCs w:val="21"/>
        </w:rPr>
        <w:t>如下：</w:t>
      </w:r>
    </w:p>
    <w:p>
      <w:pPr>
        <w:pStyle w:val="10"/>
        <w:jc w:val="center"/>
        <w:outlineLvl w:val="0"/>
        <w:rPr>
          <w:rFonts w:ascii="Times New Roman" w:hAnsi="Times New Roman" w:eastAsia="黑体" w:cs="Times New Roman"/>
          <w:color w:val="FF0000"/>
          <w:sz w:val="32"/>
          <w:szCs w:val="32"/>
          <w:u w:val="single"/>
          <w:lang w:bidi="ar"/>
        </w:rPr>
      </w:pPr>
      <w:bookmarkStart w:id="55" w:name="_Toc94175478"/>
      <w:bookmarkStart w:id="56" w:name="_Toc31701"/>
      <w:r>
        <w:rPr>
          <w:rFonts w:hint="eastAsia" w:hAnsi="宋体" w:eastAsia="宋体" w:cs="宋体"/>
          <w:lang w:bidi="ar"/>
        </w:rPr>
        <w:t>“</w:t>
      </w:r>
      <w:r>
        <w:rPr>
          <w:rFonts w:hint="eastAsia" w:ascii="Times New Roman" w:hAnsi="Times New Roman" w:eastAsia="黑体" w:cs="Times New Roman"/>
          <w:color w:val="FF0000"/>
          <w:sz w:val="32"/>
          <w:szCs w:val="32"/>
          <w:u w:val="single"/>
          <w:lang w:bidi="ar"/>
        </w:rPr>
        <w:t>附录 II  无人非自航（UNSP）驳船免除证书格式</w:t>
      </w:r>
      <w:bookmarkEnd w:id="55"/>
      <w:bookmarkEnd w:id="56"/>
    </w:p>
    <w:p>
      <w:pPr>
        <w:adjustRightInd w:val="0"/>
        <w:snapToGrid w:val="0"/>
        <w:ind w:firstLine="426" w:firstLineChars="202"/>
        <w:jc w:val="center"/>
        <w:rPr>
          <w:rFonts w:ascii="宋体" w:hAnsi="宋体" w:eastAsia="宋体" w:cs="宋体"/>
          <w:szCs w:val="21"/>
          <w:lang w:bidi="ar"/>
        </w:rPr>
      </w:pPr>
      <w:r>
        <w:rPr>
          <w:rFonts w:hint="eastAsia"/>
          <w:b/>
          <w:color w:val="FF0000"/>
          <w:szCs w:val="21"/>
          <w:u w:val="single"/>
        </w:rPr>
        <w:t>（略）</w:t>
      </w:r>
      <w:r>
        <w:rPr>
          <w:rFonts w:hint="eastAsia" w:ascii="宋体" w:hAnsi="宋体" w:eastAsia="宋体" w:cs="宋体"/>
          <w:szCs w:val="21"/>
          <w:lang w:bidi="ar"/>
        </w:rPr>
        <w:t>”</w:t>
      </w:r>
    </w:p>
    <w:p>
      <w:pPr>
        <w:adjustRightInd w:val="0"/>
        <w:snapToGrid w:val="0"/>
        <w:ind w:firstLine="424" w:firstLineChars="202"/>
        <w:jc w:val="left"/>
        <w:rPr>
          <w:rFonts w:ascii="宋体" w:hAnsi="宋体" w:eastAsia="宋体" w:cs="宋体"/>
          <w:szCs w:val="21"/>
          <w:lang w:bidi="ar"/>
        </w:rPr>
      </w:pPr>
    </w:p>
    <w:p>
      <w:pPr>
        <w:adjustRightInd w:val="0"/>
        <w:snapToGrid w:val="0"/>
        <w:ind w:firstLine="420" w:firstLineChars="200"/>
        <w:jc w:val="left"/>
        <w:rPr>
          <w:color w:val="0000FF"/>
          <w:szCs w:val="21"/>
          <w:lang w:bidi="ar"/>
        </w:rPr>
      </w:pPr>
      <w:r>
        <w:rPr>
          <w:color w:val="0000FF"/>
          <w:szCs w:val="21"/>
          <w:lang w:bidi="ar"/>
        </w:rPr>
        <w:tab/>
      </w:r>
    </w:p>
    <w:p>
      <w:pPr>
        <w:rPr>
          <w:rFonts w:ascii="宋体" w:hAnsi="宋体" w:eastAsia="宋体" w:cs="Times New Roman"/>
          <w:szCs w:val="21"/>
        </w:rPr>
      </w:pPr>
      <w:r>
        <w:br w:type="page"/>
      </w:r>
    </w:p>
    <w:p>
      <w:pPr>
        <w:pStyle w:val="35"/>
        <w:outlineLvl w:val="0"/>
        <w:rPr>
          <w:rFonts w:hint="default" w:ascii="Times New Roman" w:hAnsi="Times New Roman" w:cs="Times New Roman"/>
        </w:rPr>
      </w:pPr>
      <w:bookmarkStart w:id="57" w:name="_Toc26387"/>
      <w:bookmarkStart w:id="58" w:name="_Toc94175479"/>
      <w:r>
        <w:rPr>
          <w:rFonts w:ascii="Times New Roman" w:hAnsi="Times New Roman" w:cs="Times New Roman"/>
        </w:rPr>
        <w:t>第5章  防止船舶垃圾污染规则</w:t>
      </w:r>
      <w:bookmarkEnd w:id="57"/>
      <w:bookmarkEnd w:id="58"/>
    </w:p>
    <w:p>
      <w:pPr>
        <w:pStyle w:val="35"/>
        <w:rPr>
          <w:rFonts w:hint="default" w:ascii="Times New Roman" w:hAnsi="Times New Roman" w:cs="Times New Roman"/>
        </w:rPr>
      </w:pPr>
      <w:r>
        <w:rPr>
          <w:rFonts w:ascii="Times New Roman" w:hAnsi="Times New Roman" w:cs="Times New Roman"/>
        </w:rPr>
        <w:t>（MARPOL 附则 V）</w:t>
      </w:r>
    </w:p>
    <w:p>
      <w:pPr>
        <w:pStyle w:val="35"/>
        <w:rPr>
          <w:rFonts w:hint="default" w:ascii="Times New Roman" w:hAnsi="Times New Roman" w:cs="Times New Roman"/>
        </w:rPr>
      </w:pPr>
    </w:p>
    <w:p>
      <w:pPr>
        <w:pStyle w:val="36"/>
        <w:rPr>
          <w:rFonts w:hint="default" w:ascii="Times New Roman" w:hAnsi="Times New Roman"/>
        </w:rPr>
      </w:pPr>
      <w:bookmarkStart w:id="59" w:name="_Toc94175480"/>
      <w:bookmarkStart w:id="60" w:name="_Toc17335"/>
      <w:r>
        <w:rPr>
          <w:rFonts w:ascii="Times New Roman" w:hAnsi="Times New Roman"/>
        </w:rPr>
        <w:t>I  总    则</w:t>
      </w:r>
      <w:bookmarkEnd w:id="59"/>
      <w:bookmarkEnd w:id="60"/>
    </w:p>
    <w:p>
      <w:pPr>
        <w:pStyle w:val="36"/>
        <w:outlineLvl w:val="9"/>
        <w:rPr>
          <w:rFonts w:hint="default" w:ascii="Times New Roman" w:hAnsi="Times New Roman"/>
        </w:rPr>
      </w:pPr>
    </w:p>
    <w:p>
      <w:pPr>
        <w:pStyle w:val="10"/>
        <w:jc w:val="center"/>
        <w:outlineLvl w:val="3"/>
        <w:rPr>
          <w:rFonts w:ascii="Times New Roman" w:hAnsi="Times New Roman" w:eastAsia="黑体"/>
          <w:bCs/>
        </w:rPr>
      </w:pPr>
      <w:bookmarkStart w:id="61" w:name="_Toc5732"/>
      <w:r>
        <w:rPr>
          <w:rFonts w:hint="eastAsia" w:ascii="Times New Roman" w:hAnsi="Times New Roman" w:eastAsia="黑体"/>
          <w:bCs/>
        </w:rPr>
        <w:t>第1条  定    义</w:t>
      </w:r>
      <w:bookmarkEnd w:id="61"/>
    </w:p>
    <w:p>
      <w:pPr>
        <w:adjustRightInd w:val="0"/>
        <w:snapToGrid w:val="0"/>
        <w:rPr>
          <w:kern w:val="0"/>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新增</w:t>
      </w:r>
      <w:r>
        <w:rPr>
          <w:rFonts w:ascii="楷体" w:hAnsi="楷体" w:eastAsia="楷体"/>
          <w:caps/>
          <w:kern w:val="32"/>
          <w:szCs w:val="21"/>
        </w:rPr>
        <w:t>19</w:t>
      </w:r>
      <w:r>
        <w:rPr>
          <w:rFonts w:hint="eastAsia" w:ascii="楷体" w:hAnsi="楷体" w:eastAsia="楷体"/>
          <w:caps/>
          <w:kern w:val="32"/>
          <w:szCs w:val="21"/>
        </w:rPr>
        <w:t>如下：</w:t>
      </w:r>
    </w:p>
    <w:p>
      <w:pPr>
        <w:adjustRightInd w:val="0"/>
        <w:snapToGrid w:val="0"/>
        <w:ind w:left="848" w:leftChars="199" w:hanging="430" w:hangingChars="205"/>
        <w:rPr>
          <w:szCs w:val="21"/>
          <w:lang w:bidi="ar"/>
        </w:rPr>
      </w:pPr>
      <w:r>
        <w:rPr>
          <w:rFonts w:hint="eastAsia"/>
          <w:szCs w:val="21"/>
          <w:lang w:bidi="ar"/>
        </w:rPr>
        <w:t>“</w:t>
      </w:r>
      <w:r>
        <w:rPr>
          <w:rFonts w:ascii="Times New Roman" w:hAnsi="Times New Roman" w:cs="Times New Roman"/>
          <w:color w:val="FF0000"/>
          <w:szCs w:val="21"/>
          <w:u w:val="single"/>
          <w:lang w:bidi="ar"/>
        </w:rPr>
        <w:t>19</w:t>
      </w:r>
      <w:r>
        <w:rPr>
          <w:rFonts w:hint="eastAsia"/>
          <w:color w:val="FF0000"/>
          <w:szCs w:val="21"/>
          <w:u w:val="single"/>
          <w:lang w:bidi="ar"/>
        </w:rPr>
        <w:t xml:space="preserve">  电子记录簿系指经主管机关批准的、用于以电子方式记录本附则要求的排放、驳运和其他操作所要求的记录以代替硬拷贝记录簿的设备或系统。</w:t>
      </w:r>
      <w:r>
        <w:rPr>
          <w:rFonts w:hint="eastAsia"/>
          <w:szCs w:val="21"/>
          <w:lang w:bidi="ar"/>
        </w:rPr>
        <w:t>”</w:t>
      </w:r>
    </w:p>
    <w:p>
      <w:pPr>
        <w:adjustRightInd w:val="0"/>
        <w:snapToGrid w:val="0"/>
        <w:ind w:firstLine="420" w:firstLineChars="200"/>
        <w:rPr>
          <w:szCs w:val="21"/>
          <w:lang w:bidi="ar"/>
        </w:rPr>
      </w:pPr>
    </w:p>
    <w:p>
      <w:pPr>
        <w:adjustRightInd w:val="0"/>
        <w:snapToGrid w:val="0"/>
      </w:pPr>
    </w:p>
    <w:p>
      <w:pPr>
        <w:pStyle w:val="10"/>
        <w:jc w:val="center"/>
        <w:outlineLvl w:val="3"/>
        <w:rPr>
          <w:rFonts w:ascii="Times New Roman" w:hAnsi="Times New Roman" w:eastAsia="黑体"/>
          <w:bCs/>
        </w:rPr>
      </w:pPr>
      <w:bookmarkStart w:id="62" w:name="_Toc22916"/>
      <w:r>
        <w:rPr>
          <w:rFonts w:hint="eastAsia" w:ascii="Times New Roman" w:hAnsi="Times New Roman" w:eastAsia="黑体"/>
          <w:bCs/>
        </w:rPr>
        <w:t>第10条  告示、垃圾管理计划</w:t>
      </w:r>
      <w:r>
        <w:rPr>
          <w:rFonts w:hint="eastAsia" w:ascii="Times New Roman" w:hAnsi="Times New Roman" w:eastAsia="黑体"/>
          <w:bCs/>
          <w:vertAlign w:val="superscript"/>
        </w:rPr>
        <w:footnoteReference w:id="6"/>
      </w:r>
      <w:r>
        <w:rPr>
          <w:rFonts w:hint="eastAsia" w:ascii="Times New Roman" w:hAnsi="Times New Roman" w:eastAsia="黑体"/>
          <w:bCs/>
        </w:rPr>
        <w:t>和垃圾记录保存</w:t>
      </w:r>
      <w:bookmarkEnd w:id="62"/>
    </w:p>
    <w:p>
      <w:pPr>
        <w:adjustRightInd w:val="0"/>
        <w:snapToGrid w:val="0"/>
        <w:ind w:firstLine="420"/>
      </w:pPr>
    </w:p>
    <w:p>
      <w:pPr>
        <w:widowControl/>
        <w:ind w:firstLine="420" w:firstLineChars="200"/>
        <w:rPr>
          <w:rFonts w:ascii="楷体" w:hAnsi="楷体" w:eastAsia="楷体"/>
          <w:caps/>
          <w:kern w:val="32"/>
          <w:szCs w:val="21"/>
        </w:rPr>
      </w:pPr>
      <w:r>
        <w:rPr>
          <w:rFonts w:ascii="楷体" w:hAnsi="楷体" w:eastAsia="楷体"/>
          <w:caps/>
          <w:kern w:val="32"/>
          <w:szCs w:val="21"/>
        </w:rPr>
        <w:t>原3改为：</w:t>
      </w:r>
    </w:p>
    <w:p>
      <w:pPr>
        <w:adjustRightInd w:val="0"/>
        <w:snapToGrid w:val="0"/>
        <w:ind w:firstLine="420" w:firstLineChars="200"/>
        <w:rPr>
          <w:rFonts w:ascii="宋体" w:hAnsi="宋体" w:eastAsia="宋体" w:cs="宋体"/>
        </w:rPr>
      </w:pPr>
      <w:r>
        <w:rPr>
          <w:rFonts w:hint="eastAsia" w:ascii="宋体" w:hAnsi="宋体" w:eastAsia="宋体" w:cs="宋体"/>
        </w:rPr>
        <w:t>“</w:t>
      </w:r>
      <w:r>
        <w:rPr>
          <w:rFonts w:ascii="Times New Roman" w:hAnsi="Times New Roman" w:cs="Times New Roman"/>
        </w:rPr>
        <w:t>3  400总吨及以上的船舶和核准载运15名或以上人员、航行于其他MARPOL公约缔约国管辖权范围内的港口或近海装卸站的船舶，以及固定或移动平台，均应备有一份《垃圾记录簿》。</w:t>
      </w:r>
      <w:r>
        <w:rPr>
          <w:rFonts w:ascii="Times New Roman" w:hAnsi="Times New Roman" w:cs="Times New Roman"/>
          <w:strike/>
          <w:color w:val="FF0000"/>
        </w:rPr>
        <w:t>该《垃圾记录簿》不论是船舶的正式航海日志的一部分，还是其他形式，均应和本附则的附录II格式相同：</w:t>
      </w:r>
      <w:r>
        <w:rPr>
          <w:rFonts w:ascii="Times New Roman" w:hAnsi="Times New Roman" w:cs="Times New Roman"/>
          <w:color w:val="FF0000"/>
          <w:u w:val="single"/>
        </w:rPr>
        <w:t>《垃圾记录簿》不论是作为船舶正式航海日志的一部分，还是作为应经主管机关考虑本组织制定的指南</w:t>
      </w:r>
      <w:r>
        <w:rPr>
          <w:rStyle w:val="33"/>
          <w:rFonts w:ascii="Times New Roman" w:hAnsi="Times New Roman" w:cs="Times New Roman"/>
          <w:color w:val="FF0000"/>
        </w:rPr>
        <w:footnoteReference w:id="7"/>
      </w:r>
      <w:r>
        <w:rPr>
          <w:rFonts w:ascii="Times New Roman" w:hAnsi="Times New Roman" w:cs="Times New Roman"/>
          <w:color w:val="FF0000"/>
          <w:u w:val="single"/>
        </w:rPr>
        <w:t>予以批准的电子记录簿，或作为其他文件，均应按本附则附录II中所规定的格式：</w:t>
      </w:r>
      <w:r>
        <w:rPr>
          <w:rFonts w:hint="eastAsia" w:ascii="宋体" w:hAnsi="宋体" w:eastAsia="宋体" w:cs="宋体"/>
        </w:rPr>
        <w:t>”</w:t>
      </w:r>
    </w:p>
    <w:p>
      <w:pPr>
        <w:ind w:firstLine="420" w:firstLineChars="200"/>
        <w:rPr>
          <w:color w:val="0000FF"/>
        </w:rPr>
      </w:pPr>
    </w:p>
    <w:p>
      <w:pPr>
        <w:adjustRightInd w:val="0"/>
        <w:snapToGrid w:val="0"/>
        <w:ind w:firstLine="420" w:firstLineChars="200"/>
        <w:rPr>
          <w:color w:val="FF0000"/>
          <w:u w:val="single"/>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w:t>
      </w:r>
      <w:r>
        <w:rPr>
          <w:rFonts w:ascii="楷体" w:hAnsi="楷体" w:eastAsia="楷体"/>
          <w:caps/>
          <w:kern w:val="32"/>
          <w:szCs w:val="21"/>
        </w:rPr>
        <w:t>3.1</w:t>
      </w:r>
      <w:r>
        <w:rPr>
          <w:rFonts w:hint="eastAsia" w:ascii="楷体" w:hAnsi="楷体" w:eastAsia="楷体"/>
          <w:caps/>
          <w:kern w:val="32"/>
          <w:szCs w:val="21"/>
        </w:rPr>
        <w:t>改为：</w:t>
      </w:r>
    </w:p>
    <w:p>
      <w:pPr>
        <w:adjustRightInd w:val="0"/>
        <w:snapToGrid w:val="0"/>
        <w:ind w:left="991" w:leftChars="300" w:hanging="361" w:hangingChars="172"/>
      </w:pPr>
      <w:r>
        <w:rPr>
          <w:rFonts w:hint="eastAsia"/>
        </w:rPr>
        <w:t>“</w:t>
      </w:r>
      <w:r>
        <w:rPr>
          <w:rFonts w:ascii="Times New Roman" w:hAnsi="Times New Roman" w:cs="Times New Roman"/>
        </w:rPr>
        <w:t>.1</w:t>
      </w:r>
      <w:r>
        <w:t xml:space="preserve"> </w:t>
      </w:r>
      <w:r>
        <w:rPr>
          <w:rFonts w:hint="eastAsia"/>
        </w:rPr>
        <w:t>《垃圾记录簿》应记录每次排放入海或至接收设备或完成的焚烧作业，并应由主管高级船员在排放或焚烧当日签署。船长应在垃圾记录簿完成记录的每一页上</w:t>
      </w:r>
      <w:r>
        <w:rPr>
          <w:rFonts w:hint="eastAsia"/>
          <w:color w:val="FF0000"/>
          <w:u w:val="single"/>
        </w:rPr>
        <w:t>或每一组电子记录</w:t>
      </w:r>
      <w:r>
        <w:rPr>
          <w:rFonts w:hint="eastAsia"/>
        </w:rPr>
        <w:t>署名。《垃圾记录簿》的每项记载应至少用英文、法文或西班牙文书写。如果这些记载也使用该船船旗国的官方语言书写，在发生争执或有不同意见时，以船旗国的官方语言的记载为准；”</w:t>
      </w:r>
    </w:p>
    <w:p>
      <w:pPr>
        <w:rPr>
          <w:color w:val="0000FF"/>
        </w:rPr>
      </w:pPr>
      <w:r>
        <w:rPr>
          <w:rFonts w:hint="eastAsia"/>
          <w:color w:val="0000FF"/>
        </w:rPr>
        <w:br w:type="page"/>
      </w:r>
    </w:p>
    <w:p>
      <w:pPr>
        <w:pStyle w:val="35"/>
        <w:outlineLvl w:val="0"/>
        <w:rPr>
          <w:rFonts w:hint="default" w:ascii="Times New Roman" w:hAnsi="Times New Roman" w:cs="Times New Roman"/>
        </w:rPr>
      </w:pPr>
      <w:bookmarkStart w:id="63" w:name="_Toc94175485"/>
      <w:bookmarkStart w:id="64" w:name="_Toc16351"/>
      <w:r>
        <w:rPr>
          <w:rFonts w:ascii="Times New Roman" w:hAnsi="Times New Roman" w:cs="Times New Roman"/>
        </w:rPr>
        <w:t>第6章  防止船舶造成空气污染规则</w:t>
      </w:r>
      <w:bookmarkEnd w:id="63"/>
      <w:bookmarkEnd w:id="64"/>
    </w:p>
    <w:p>
      <w:pPr>
        <w:pStyle w:val="35"/>
        <w:rPr>
          <w:rFonts w:hint="default" w:ascii="Times New Roman" w:hAnsi="Times New Roman" w:cs="Times New Roman"/>
        </w:rPr>
      </w:pPr>
      <w:bookmarkStart w:id="65" w:name="_Toc94175486"/>
      <w:r>
        <w:rPr>
          <w:rFonts w:ascii="Times New Roman" w:hAnsi="Times New Roman" w:cs="Times New Roman"/>
        </w:rPr>
        <w:t xml:space="preserve">（MARPOL 附则 </w:t>
      </w:r>
      <w:r>
        <w:rPr>
          <w:rFonts w:ascii="宋体" w:hAnsi="宋体" w:eastAsia="宋体" w:cs="宋体"/>
        </w:rPr>
        <w:t>Ⅵ</w:t>
      </w:r>
      <w:r>
        <w:rPr>
          <w:rFonts w:ascii="Times New Roman" w:hAnsi="Times New Roman" w:cs="Times New Roman"/>
        </w:rPr>
        <w:t>）</w:t>
      </w:r>
      <w:bookmarkEnd w:id="65"/>
    </w:p>
    <w:p>
      <w:pPr>
        <w:pStyle w:val="35"/>
        <w:rPr>
          <w:rFonts w:hint="default" w:ascii="Times New Roman" w:hAnsi="Times New Roman" w:cs="Times New Roman"/>
        </w:rPr>
      </w:pPr>
    </w:p>
    <w:p>
      <w:pPr>
        <w:pStyle w:val="36"/>
        <w:rPr>
          <w:rFonts w:hint="default" w:ascii="Times New Roman" w:hAnsi="Times New Roman"/>
        </w:rPr>
      </w:pPr>
      <w:bookmarkStart w:id="66" w:name="_Toc6666"/>
      <w:r>
        <w:rPr>
          <w:rFonts w:ascii="Times New Roman" w:hAnsi="Times New Roman"/>
        </w:rPr>
        <w:t>I  总    则</w:t>
      </w:r>
      <w:bookmarkEnd w:id="66"/>
    </w:p>
    <w:p>
      <w:pPr>
        <w:pStyle w:val="36"/>
        <w:outlineLvl w:val="9"/>
        <w:rPr>
          <w:rFonts w:hint="default" w:ascii="Times New Roman" w:hAnsi="Times New Roman"/>
        </w:rPr>
      </w:pPr>
    </w:p>
    <w:p>
      <w:pPr>
        <w:widowControl/>
        <w:ind w:firstLine="420" w:firstLineChars="200"/>
        <w:rPr>
          <w:rFonts w:ascii="楷体" w:hAnsi="楷体" w:eastAsia="楷体"/>
          <w:caps/>
          <w:kern w:val="32"/>
          <w:szCs w:val="21"/>
        </w:rPr>
      </w:pPr>
      <w:r>
        <w:rPr>
          <w:rFonts w:hint="eastAsia" w:ascii="楷体" w:hAnsi="楷体" w:eastAsia="楷体"/>
          <w:caps/>
          <w:kern w:val="32"/>
          <w:szCs w:val="21"/>
        </w:rPr>
        <w:t>原第1条改为：</w:t>
      </w:r>
    </w:p>
    <w:p>
      <w:pPr>
        <w:pStyle w:val="10"/>
        <w:jc w:val="center"/>
        <w:outlineLvl w:val="3"/>
        <w:rPr>
          <w:rFonts w:ascii="Times New Roman" w:hAnsi="Times New Roman" w:eastAsia="黑体"/>
          <w:bCs/>
        </w:rPr>
      </w:pPr>
      <w:bookmarkStart w:id="67" w:name="_Toc20102"/>
      <w:r>
        <w:rPr>
          <w:rFonts w:hint="eastAsia" w:asciiTheme="minorHAnsi" w:hAnsiTheme="minorHAnsi" w:cstheme="minorBidi"/>
          <w:lang w:bidi="ar"/>
        </w:rPr>
        <w:t>“</w:t>
      </w:r>
      <w:r>
        <w:rPr>
          <w:rFonts w:hint="eastAsia" w:ascii="Times New Roman" w:hAnsi="Times New Roman" w:eastAsia="黑体"/>
          <w:bCs/>
        </w:rPr>
        <w:t>第1条  适用范围</w:t>
      </w:r>
      <w:bookmarkEnd w:id="67"/>
    </w:p>
    <w:p>
      <w:pPr>
        <w:adjustRightInd w:val="0"/>
        <w:snapToGrid w:val="0"/>
        <w:spacing w:line="360" w:lineRule="auto"/>
        <w:rPr>
          <w:rFonts w:ascii="宋体" w:hAnsi="宋体"/>
          <w:sz w:val="24"/>
        </w:rPr>
      </w:pPr>
    </w:p>
    <w:p>
      <w:pPr>
        <w:adjustRightInd w:val="0"/>
        <w:snapToGrid w:val="0"/>
        <w:ind w:firstLine="420" w:firstLineChars="200"/>
        <w:jc w:val="left"/>
        <w:rPr>
          <w:szCs w:val="21"/>
          <w:lang w:bidi="ar"/>
        </w:rPr>
      </w:pPr>
      <w:r>
        <w:rPr>
          <w:rFonts w:hint="eastAsia"/>
          <w:szCs w:val="21"/>
          <w:lang w:bidi="ar"/>
        </w:rPr>
        <w:t>除</w:t>
      </w:r>
      <w:r>
        <w:rPr>
          <w:rFonts w:hint="eastAsia"/>
          <w:strike/>
          <w:color w:val="FF0000"/>
          <w:szCs w:val="21"/>
          <w:lang w:bidi="ar"/>
        </w:rPr>
        <w:t>本附则第3、5、6、13、15、16、18、19、20、21、22和22A条另有规定者</w:t>
      </w:r>
      <w:r>
        <w:rPr>
          <w:rFonts w:hint="eastAsia" w:ascii="Times New Roman" w:hAnsi="Times New Roman" w:eastAsia="宋体" w:cs="Times New Roman"/>
          <w:color w:val="FF0000"/>
          <w:u w:val="single"/>
        </w:rPr>
        <w:t>另有明文规定</w:t>
      </w:r>
      <w:r>
        <w:rPr>
          <w:rFonts w:hint="eastAsia" w:ascii="Times New Roman" w:hAnsi="Times New Roman" w:eastAsia="宋体" w:cs="Times New Roman"/>
        </w:rPr>
        <w:t>外</w:t>
      </w:r>
      <w:r>
        <w:rPr>
          <w:rFonts w:hint="eastAsia"/>
          <w:szCs w:val="21"/>
          <w:lang w:bidi="ar"/>
        </w:rPr>
        <w:t>，本附则的规定应适用所有船舶。”</w:t>
      </w:r>
    </w:p>
    <w:p>
      <w:pPr>
        <w:adjustRightInd w:val="0"/>
        <w:snapToGrid w:val="0"/>
        <w:ind w:firstLine="420" w:firstLineChars="200"/>
        <w:jc w:val="left"/>
        <w:rPr>
          <w:rFonts w:ascii="楷体" w:hAnsi="楷体" w:eastAsia="楷体" w:cs="楷体"/>
          <w:snapToGrid w:val="0"/>
          <w:color w:val="0000FF"/>
          <w:kern w:val="0"/>
          <w:szCs w:val="21"/>
        </w:rPr>
      </w:pPr>
    </w:p>
    <w:p>
      <w:pPr>
        <w:adjustRightInd w:val="0"/>
        <w:snapToGrid w:val="0"/>
        <w:ind w:firstLine="420" w:firstLineChars="200"/>
        <w:jc w:val="left"/>
        <w:rPr>
          <w:rFonts w:ascii="楷体" w:hAnsi="楷体" w:eastAsia="楷体" w:cs="楷体"/>
          <w:snapToGrid w:val="0"/>
          <w:color w:val="0000FF"/>
          <w:kern w:val="0"/>
          <w:szCs w:val="21"/>
        </w:rPr>
      </w:pPr>
    </w:p>
    <w:p>
      <w:pPr>
        <w:pStyle w:val="10"/>
        <w:adjustRightInd w:val="0"/>
        <w:snapToGrid w:val="0"/>
        <w:jc w:val="center"/>
        <w:outlineLvl w:val="3"/>
        <w:rPr>
          <w:rFonts w:ascii="Times New Roman" w:hAnsi="Times New Roman" w:eastAsia="黑体"/>
          <w:bCs/>
          <w:color w:val="000000" w:themeColor="text1"/>
          <w14:textFill>
            <w14:solidFill>
              <w14:schemeClr w14:val="tx1"/>
            </w14:solidFill>
          </w14:textFill>
        </w:rPr>
      </w:pPr>
      <w:bookmarkStart w:id="68" w:name="_Toc26629"/>
      <w:r>
        <w:rPr>
          <w:rFonts w:hint="eastAsia" w:ascii="Times New Roman" w:hAnsi="Times New Roman" w:eastAsia="黑体"/>
          <w:bCs/>
          <w:color w:val="000000" w:themeColor="text1"/>
          <w14:textFill>
            <w14:solidFill>
              <w14:schemeClr w14:val="tx1"/>
            </w14:solidFill>
          </w14:textFill>
        </w:rPr>
        <w:t>第</w:t>
      </w:r>
      <w:r>
        <w:rPr>
          <w:rFonts w:ascii="Times New Roman" w:hAnsi="Times New Roman" w:eastAsia="黑体"/>
          <w:bCs/>
          <w:color w:val="000000" w:themeColor="text1"/>
          <w14:textFill>
            <w14:solidFill>
              <w14:schemeClr w14:val="tx1"/>
            </w14:solidFill>
          </w14:textFill>
        </w:rPr>
        <w:t xml:space="preserve">2条  </w:t>
      </w:r>
      <w:r>
        <w:rPr>
          <w:rFonts w:hint="eastAsia" w:ascii="Times New Roman" w:hAnsi="Times New Roman" w:eastAsia="黑体"/>
          <w:bCs/>
          <w:color w:val="000000" w:themeColor="text1"/>
          <w14:textFill>
            <w14:solidFill>
              <w14:schemeClr w14:val="tx1"/>
            </w14:solidFill>
          </w14:textFill>
        </w:rPr>
        <w:t>定    义</w:t>
      </w:r>
      <w:bookmarkEnd w:id="68"/>
    </w:p>
    <w:p>
      <w:pPr>
        <w:adjustRightInd w:val="0"/>
        <w:snapToGrid w:val="0"/>
        <w:spacing w:line="360" w:lineRule="auto"/>
        <w:rPr>
          <w:rFonts w:ascii="楷体" w:hAnsi="楷体" w:eastAsia="楷体"/>
          <w:color w:val="FF0000"/>
          <w:sz w:val="24"/>
        </w:rPr>
      </w:pPr>
    </w:p>
    <w:p>
      <w:pPr>
        <w:adjustRightInd w:val="0"/>
        <w:snapToGrid w:val="0"/>
        <w:ind w:firstLine="420" w:firstLineChars="200"/>
      </w:pPr>
      <w:r>
        <w:rPr>
          <w:rFonts w:hint="eastAsia" w:ascii="楷体" w:hAnsi="楷体" w:eastAsia="楷体"/>
        </w:rPr>
        <w:t>删除</w:t>
      </w:r>
      <w:r>
        <w:rPr>
          <w:rFonts w:ascii="Times New Roman" w:hAnsi="Times New Roman" w:cs="Times New Roman"/>
        </w:rPr>
        <w:t>1~50bis</w:t>
      </w:r>
      <w:r>
        <w:rPr>
          <w:rFonts w:hint="eastAsia"/>
        </w:rPr>
        <w:t>。</w:t>
      </w:r>
    </w:p>
    <w:p>
      <w:pPr>
        <w:adjustRightInd w:val="0"/>
        <w:snapToGrid w:val="0"/>
        <w:ind w:firstLine="420" w:firstLineChars="200"/>
      </w:pPr>
    </w:p>
    <w:p>
      <w:pPr>
        <w:adjustRightInd w:val="0"/>
        <w:snapToGrid w:val="0"/>
        <w:ind w:firstLine="420" w:firstLineChars="200"/>
        <w:rPr>
          <w:rFonts w:ascii="楷体" w:hAnsi="楷体" w:eastAsia="楷体"/>
        </w:rPr>
      </w:pPr>
      <w:r>
        <w:rPr>
          <w:rFonts w:hint="eastAsia" w:ascii="楷体" w:hAnsi="楷体" w:eastAsia="楷体"/>
        </w:rPr>
        <w:t>新增</w:t>
      </w:r>
      <w:r>
        <w:rPr>
          <w:rFonts w:ascii="楷体" w:hAnsi="楷体" w:eastAsia="楷体"/>
        </w:rPr>
        <w:t>1，2</w:t>
      </w:r>
      <w:r>
        <w:rPr>
          <w:rFonts w:hint="eastAsia" w:ascii="楷体" w:hAnsi="楷体" w:eastAsia="楷体"/>
        </w:rPr>
        <w:t>如下：</w:t>
      </w:r>
    </w:p>
    <w:p>
      <w:pPr>
        <w:ind w:firstLine="420"/>
        <w:rPr>
          <w:rFonts w:ascii="Times New Roman" w:hAnsi="Times New Roman" w:cs="Times New Roman"/>
          <w:b/>
          <w:color w:val="FF0000"/>
          <w:u w:val="single"/>
        </w:rPr>
      </w:pPr>
      <w:r>
        <w:rPr>
          <w:rFonts w:hint="eastAsia"/>
        </w:rPr>
        <w:t>“</w:t>
      </w:r>
      <w:r>
        <w:rPr>
          <w:rFonts w:ascii="Times New Roman" w:hAnsi="Times New Roman" w:cs="Times New Roman"/>
          <w:color w:val="FF0000"/>
          <w:u w:val="single"/>
        </w:rPr>
        <w:t>1  就本附则而言：</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  </w:t>
      </w:r>
      <w:r>
        <w:rPr>
          <w:rFonts w:ascii="Times New Roman" w:hAnsi="Times New Roman" w:eastAsia="宋体" w:cs="Times New Roman"/>
          <w:b/>
          <w:bCs/>
          <w:lang w:bidi="ar"/>
        </w:rPr>
        <w:t>附则</w:t>
      </w:r>
      <w:r>
        <w:rPr>
          <w:rFonts w:ascii="Times New Roman" w:hAnsi="Times New Roman" w:eastAsia="宋体" w:cs="Times New Roman"/>
          <w:lang w:bidi="ar"/>
        </w:rPr>
        <w:t>系指经1978年议定书修订并经1997年议定书修订，同时经国际海事组织修正的1973年国际防止船舶造成污染公约（防污公约）的附则VI，但这些修正案应按防污公约第16条的规定予以通过并生效。</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  </w:t>
      </w:r>
      <w:r>
        <w:rPr>
          <w:rFonts w:ascii="Times New Roman" w:hAnsi="Times New Roman" w:eastAsia="宋体" w:cs="Times New Roman"/>
          <w:b/>
          <w:bCs/>
          <w:lang w:bidi="ar"/>
        </w:rPr>
        <w:t>类似建造阶段</w:t>
      </w:r>
      <w:r>
        <w:rPr>
          <w:rFonts w:ascii="Times New Roman" w:hAnsi="Times New Roman" w:eastAsia="宋体" w:cs="Times New Roman"/>
          <w:lang w:bidi="ar"/>
        </w:rPr>
        <w:t>系指在此阶段：</w:t>
      </w:r>
    </w:p>
    <w:p>
      <w:pPr>
        <w:ind w:left="1528" w:leftChars="530" w:hanging="415" w:hangingChars="198"/>
        <w:rPr>
          <w:rFonts w:ascii="Times New Roman" w:hAnsi="Times New Roman" w:cs="Times New Roman"/>
        </w:rPr>
      </w:pPr>
      <w:r>
        <w:rPr>
          <w:rFonts w:ascii="Times New Roman" w:hAnsi="Times New Roman" w:cs="Times New Roman"/>
        </w:rPr>
        <w:t>.1  可辨认出某一具体船舶建造开始；和</w:t>
      </w:r>
    </w:p>
    <w:p>
      <w:pPr>
        <w:ind w:left="1528" w:leftChars="530" w:hanging="415" w:hangingChars="198"/>
        <w:rPr>
          <w:rFonts w:ascii="Times New Roman" w:hAnsi="Times New Roman" w:cs="Times New Roman"/>
        </w:rPr>
      </w:pPr>
      <w:r>
        <w:rPr>
          <w:rFonts w:ascii="Times New Roman" w:hAnsi="Times New Roman" w:cs="Times New Roman"/>
        </w:rPr>
        <w:t>.2  该船业已开始的装配量至少为50 t，或为全部结构材料估算重量的1%，取较小者。</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.3  </w:t>
      </w:r>
      <w:r>
        <w:rPr>
          <w:rFonts w:ascii="Times New Roman" w:hAnsi="Times New Roman" w:eastAsia="宋体" w:cs="Times New Roman"/>
          <w:b/>
          <w:bCs/>
          <w:lang w:bidi="ar"/>
        </w:rPr>
        <w:t>周年日期</w:t>
      </w:r>
      <w:r>
        <w:rPr>
          <w:rFonts w:ascii="Times New Roman" w:hAnsi="Times New Roman" w:eastAsia="宋体" w:cs="Times New Roman"/>
          <w:lang w:bidi="ar"/>
        </w:rPr>
        <w:t>系指与《国际防止空气污染证书》期满之日对应的每年的该月该日。</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.4  </w:t>
      </w:r>
      <w:r>
        <w:rPr>
          <w:rFonts w:ascii="Times New Roman" w:hAnsi="Times New Roman" w:eastAsia="宋体" w:cs="Times New Roman"/>
          <w:b/>
          <w:bCs/>
          <w:lang w:bidi="ar"/>
        </w:rPr>
        <w:t>审核</w:t>
      </w:r>
      <w:r>
        <w:rPr>
          <w:rFonts w:ascii="Times New Roman" w:hAnsi="Times New Roman" w:eastAsia="宋体" w:cs="Times New Roman"/>
          <w:lang w:bidi="ar"/>
        </w:rPr>
        <w:t>系指获取审核证据并进行客观评估以确定达到审核衡准程度的系统、独立和文件化程序。</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.5  </w:t>
      </w:r>
      <w:r>
        <w:rPr>
          <w:rFonts w:ascii="Times New Roman" w:hAnsi="Times New Roman" w:eastAsia="宋体" w:cs="Times New Roman"/>
          <w:b/>
          <w:bCs/>
          <w:lang w:bidi="ar"/>
        </w:rPr>
        <w:t>审核机制</w:t>
      </w:r>
      <w:r>
        <w:rPr>
          <w:rFonts w:ascii="Times New Roman" w:hAnsi="Times New Roman" w:eastAsia="宋体" w:cs="Times New Roman"/>
          <w:lang w:bidi="ar"/>
        </w:rPr>
        <w:t>系指国际海事组织制定的《IMO成员国审核机制》，其中考虑到国际海事组织制定的指南</w:t>
      </w:r>
      <w:r>
        <w:rPr>
          <w:rFonts w:ascii="Times New Roman" w:hAnsi="Times New Roman" w:eastAsia="宋体" w:cs="Times New Roman"/>
          <w:vertAlign w:val="superscript"/>
          <w:lang w:bidi="ar"/>
        </w:rPr>
        <w:footnoteReference w:id="8"/>
      </w:r>
      <w:r>
        <w:rPr>
          <w:rFonts w:ascii="Times New Roman" w:hAnsi="Times New Roman" w:eastAsia="宋体" w:cs="Times New Roman"/>
          <w:lang w:bidi="ar"/>
        </w:rPr>
        <w:t>。</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.6  </w:t>
      </w:r>
      <w:r>
        <w:rPr>
          <w:rFonts w:ascii="Times New Roman" w:hAnsi="Times New Roman" w:eastAsia="宋体" w:cs="Times New Roman"/>
          <w:b/>
          <w:bCs/>
          <w:lang w:bidi="ar"/>
        </w:rPr>
        <w:t>审核标准</w:t>
      </w:r>
      <w:r>
        <w:rPr>
          <w:rFonts w:ascii="Times New Roman" w:hAnsi="Times New Roman" w:eastAsia="宋体" w:cs="Times New Roman"/>
          <w:lang w:bidi="ar"/>
        </w:rPr>
        <w:t>系指国际海事组织A.1070(28)决议通过的《IMO文件实施规则》（III规则）。</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.7  </w:t>
      </w:r>
      <w:r>
        <w:rPr>
          <w:rFonts w:ascii="Times New Roman" w:hAnsi="Times New Roman" w:eastAsia="宋体" w:cs="Times New Roman"/>
          <w:b/>
          <w:bCs/>
          <w:lang w:bidi="ar"/>
        </w:rPr>
        <w:t>辅助控制装置</w:t>
      </w:r>
      <w:r>
        <w:rPr>
          <w:rFonts w:ascii="Times New Roman" w:hAnsi="Times New Roman" w:eastAsia="宋体" w:cs="Times New Roman"/>
          <w:lang w:bidi="ar"/>
        </w:rPr>
        <w:t>系指船用柴油机上安装的用于保护柴油机和/或其辅助设备不受可导致其损坏或故障的操作条件的影响或有助于柴油机起动的系统、功能或控制策略。辅助控制装置也可以是业已证明为非抑制装置的策略或措施。</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.8  </w:t>
      </w:r>
      <w:r>
        <w:rPr>
          <w:rFonts w:ascii="Times New Roman" w:hAnsi="Times New Roman" w:eastAsia="宋体" w:cs="Times New Roman"/>
          <w:b/>
          <w:bCs/>
          <w:lang w:bidi="ar"/>
        </w:rPr>
        <w:t>实施规则</w:t>
      </w:r>
      <w:r>
        <w:rPr>
          <w:rFonts w:ascii="Times New Roman" w:hAnsi="Times New Roman" w:eastAsia="宋体" w:cs="Times New Roman"/>
          <w:lang w:bidi="ar"/>
        </w:rPr>
        <w:t>系指国际海事组织A.1070(28)决议通过的《IMO文件实施规则》（III规则）。</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.9  </w:t>
      </w:r>
      <w:r>
        <w:rPr>
          <w:rFonts w:ascii="Times New Roman" w:hAnsi="Times New Roman" w:eastAsia="宋体" w:cs="Times New Roman"/>
          <w:b/>
          <w:bCs/>
          <w:lang w:bidi="ar"/>
        </w:rPr>
        <w:t>连续进料</w:t>
      </w:r>
      <w:r>
        <w:rPr>
          <w:rFonts w:ascii="Times New Roman" w:hAnsi="Times New Roman" w:eastAsia="宋体" w:cs="Times New Roman"/>
          <w:lang w:bidi="ar"/>
        </w:rPr>
        <w:t>系指当焚烧炉在正常操作条件下，燃烧室工作温度在850℃和1,200℃之间时，无需人工辅助将废物送入燃烧室的过程。</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.10  </w:t>
      </w:r>
      <w:r>
        <w:rPr>
          <w:rFonts w:ascii="Times New Roman" w:hAnsi="Times New Roman" w:eastAsia="宋体" w:cs="Times New Roman"/>
          <w:b/>
          <w:bCs/>
          <w:lang w:bidi="ar"/>
        </w:rPr>
        <w:t>抑制装置</w:t>
      </w:r>
      <w:r>
        <w:rPr>
          <w:rFonts w:ascii="Times New Roman" w:hAnsi="Times New Roman" w:eastAsia="宋体" w:cs="Times New Roman"/>
          <w:lang w:bidi="ar"/>
        </w:rPr>
        <w:t>系指为激活、调整、推迟或停用排放控制系统的任何部件或功能而对操作参数（如：发动机速度、温度、进气压力或任何其他参数）进行测量、检测或响应的装置，从而在正常操作遇到的工况下降低排放控制系统的有效性，但在适用的排放发证试验程序中大量使用该装置者除外。</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.11  </w:t>
      </w:r>
      <w:r>
        <w:rPr>
          <w:rFonts w:ascii="Times New Roman" w:hAnsi="Times New Roman" w:eastAsia="宋体" w:cs="Times New Roman"/>
          <w:b/>
          <w:bCs/>
          <w:lang w:bidi="ar"/>
        </w:rPr>
        <w:t>电子记录簿</w:t>
      </w:r>
      <w:r>
        <w:rPr>
          <w:rFonts w:ascii="Times New Roman" w:hAnsi="Times New Roman" w:eastAsia="宋体" w:cs="Times New Roman"/>
          <w:lang w:bidi="ar"/>
        </w:rPr>
        <w:t>：《电子记录簿》系指经主管机关批准，用于以电子形式记录本附则所规定的排放、过驳和其他操作所需项目的装置或系统，以替代硬拷贝记录簿。</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.12  </w:t>
      </w:r>
      <w:r>
        <w:rPr>
          <w:rFonts w:ascii="Times New Roman" w:hAnsi="Times New Roman" w:eastAsia="宋体" w:cs="Times New Roman"/>
          <w:b/>
          <w:bCs/>
          <w:lang w:bidi="ar"/>
        </w:rPr>
        <w:t>排放</w:t>
      </w:r>
      <w:r>
        <w:rPr>
          <w:rFonts w:ascii="Times New Roman" w:hAnsi="Times New Roman" w:eastAsia="宋体" w:cs="Times New Roman"/>
          <w:lang w:bidi="ar"/>
        </w:rPr>
        <w:t>系指从船舶上向大气或海洋释放受本附则控制的任何物质。</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.13  </w:t>
      </w:r>
      <w:r>
        <w:rPr>
          <w:rFonts w:ascii="Times New Roman" w:hAnsi="Times New Roman" w:eastAsia="宋体" w:cs="Times New Roman"/>
          <w:b/>
          <w:bCs/>
          <w:lang w:bidi="ar"/>
        </w:rPr>
        <w:t>排放控制区</w:t>
      </w:r>
      <w:r>
        <w:rPr>
          <w:rFonts w:ascii="Times New Roman" w:hAnsi="Times New Roman" w:eastAsia="宋体" w:cs="Times New Roman"/>
          <w:lang w:bidi="ar"/>
        </w:rPr>
        <w:t>系指要求对船舶排放采取特殊强制措施以防止、减少和控制NOx或SOx和颗粒物质或所有三种排放类型造成大气污染以及随之对人类健康和环境造成不利影响的区域。排放控制区域应包括本附则第13和14条所列或所指定的区域。</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.14  </w:t>
      </w:r>
      <w:r>
        <w:rPr>
          <w:rFonts w:ascii="Times New Roman" w:hAnsi="Times New Roman" w:eastAsia="宋体" w:cs="Times New Roman"/>
          <w:b/>
          <w:bCs/>
          <w:lang w:bidi="ar"/>
        </w:rPr>
        <w:t>燃油</w:t>
      </w:r>
      <w:r>
        <w:rPr>
          <w:rFonts w:ascii="Times New Roman" w:hAnsi="Times New Roman" w:eastAsia="宋体" w:cs="Times New Roman"/>
          <w:lang w:bidi="ar"/>
        </w:rPr>
        <w:t>系指为了船舶推进或运转而交付船上的用于燃烧的任何燃料，包括气体燃料、馏分燃油和残余燃油。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.15  </w:t>
      </w:r>
      <w:r>
        <w:rPr>
          <w:rFonts w:ascii="Times New Roman" w:hAnsi="Times New Roman" w:eastAsia="宋体" w:cs="Times New Roman"/>
          <w:b/>
          <w:bCs/>
          <w:lang w:bidi="ar"/>
        </w:rPr>
        <w:t>总吨位</w:t>
      </w:r>
      <w:r>
        <w:rPr>
          <w:rFonts w:ascii="Times New Roman" w:hAnsi="Times New Roman" w:eastAsia="宋体" w:cs="Times New Roman"/>
          <w:lang w:bidi="ar"/>
        </w:rPr>
        <w:t>系指按《1969年国际船舶吨位丈量公约》或任何后续公约的附则I所述的吨位丈量规定计算的总吨位。</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.16  </w:t>
      </w:r>
      <w:r>
        <w:rPr>
          <w:rFonts w:ascii="Times New Roman" w:hAnsi="Times New Roman" w:eastAsia="宋体" w:cs="Times New Roman"/>
          <w:b/>
          <w:bCs/>
          <w:lang w:bidi="ar"/>
        </w:rPr>
        <w:t>在用燃油样本</w:t>
      </w:r>
      <w:r>
        <w:rPr>
          <w:rFonts w:ascii="Times New Roman" w:hAnsi="Times New Roman" w:eastAsia="宋体" w:cs="Times New Roman"/>
          <w:lang w:bidi="ar"/>
        </w:rPr>
        <w:t>系指船上在用的燃油样本。</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.17  </w:t>
      </w:r>
      <w:r>
        <w:rPr>
          <w:rFonts w:ascii="Times New Roman" w:hAnsi="Times New Roman" w:eastAsia="宋体" w:cs="Times New Roman"/>
          <w:b/>
          <w:bCs/>
          <w:lang w:bidi="ar"/>
        </w:rPr>
        <w:t>装置</w:t>
      </w:r>
      <w:r>
        <w:rPr>
          <w:rFonts w:ascii="Times New Roman" w:hAnsi="Times New Roman" w:eastAsia="宋体" w:cs="Times New Roman"/>
          <w:lang w:bidi="ar"/>
        </w:rPr>
        <w:t>系指与本附则第12条有关的在船上安装的系统、设备、包括手提式灭火器、绝缘体或其他材料，但不包括对以前安装的系统、设备、绝缘体或其他材料的修理或重新充注、或者对手提灭火器的重新充注。</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.18  </w:t>
      </w:r>
      <w:r>
        <w:rPr>
          <w:rFonts w:ascii="Times New Roman" w:hAnsi="Times New Roman" w:eastAsia="宋体" w:cs="Times New Roman"/>
          <w:b/>
          <w:bCs/>
          <w:lang w:bidi="ar"/>
        </w:rPr>
        <w:t>安装</w:t>
      </w:r>
      <w:r>
        <w:rPr>
          <w:rFonts w:ascii="Times New Roman" w:hAnsi="Times New Roman" w:eastAsia="宋体" w:cs="Times New Roman"/>
          <w:lang w:bidi="ar"/>
        </w:rPr>
        <w:t>系指安装或拟安装上船的船用柴油机，包括可移动式辅助船用柴油机，只要其加油、冷却或排气系统是船舶的组成部分。加油系统只有在永久附于船上时才可视为船舶的组成部分。该定义包括用于补充或增强船舶已装动力容量并拟成为船舶组成部分的船用柴油机。</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.19  </w:t>
      </w:r>
      <w:r>
        <w:rPr>
          <w:rFonts w:ascii="Times New Roman" w:hAnsi="Times New Roman" w:eastAsia="宋体" w:cs="Times New Roman"/>
          <w:b/>
          <w:bCs/>
          <w:lang w:bidi="ar"/>
        </w:rPr>
        <w:t>不合理排放控制策略</w:t>
      </w:r>
      <w:r>
        <w:rPr>
          <w:rFonts w:ascii="Times New Roman" w:hAnsi="Times New Roman" w:eastAsia="宋体" w:cs="Times New Roman"/>
          <w:lang w:bidi="ar"/>
        </w:rPr>
        <w:t>系指当船舶在正常使用条件下营运时将排放控制系统的有效性降至低于适用的排放试验程序所预期的水平的任何策略或措施。</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.20  </w:t>
      </w:r>
      <w:r>
        <w:rPr>
          <w:rFonts w:ascii="Times New Roman" w:hAnsi="Times New Roman" w:eastAsia="宋体" w:cs="Times New Roman"/>
          <w:b/>
          <w:bCs/>
          <w:lang w:bidi="ar"/>
        </w:rPr>
        <w:t>低闪点燃料</w:t>
      </w:r>
      <w:r>
        <w:rPr>
          <w:rFonts w:ascii="Times New Roman" w:hAnsi="Times New Roman" w:eastAsia="宋体" w:cs="Times New Roman"/>
          <w:lang w:bidi="ar"/>
        </w:rPr>
        <w:t>系指闪点低于经修正的《1974年国际海上人命安全公约》（SOLAS）第II-2章第4条2.1.1的规定的气态或液态燃油。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.21 </w:t>
      </w:r>
      <w:r>
        <w:rPr>
          <w:rFonts w:ascii="Times New Roman" w:hAnsi="Times New Roman" w:eastAsia="宋体" w:cs="Times New Roman"/>
          <w:b/>
          <w:bCs/>
          <w:lang w:bidi="ar"/>
        </w:rPr>
        <w:t xml:space="preserve"> 船用柴油机</w:t>
      </w:r>
      <w:r>
        <w:rPr>
          <w:rFonts w:ascii="Times New Roman" w:hAnsi="Times New Roman" w:eastAsia="宋体" w:cs="Times New Roman"/>
          <w:lang w:bidi="ar"/>
        </w:rPr>
        <w:t>系指本附则第13条适用的以液体或双燃料运行的任何往复式内燃机，包括增压/复合系统（如适用）。此外，2016年3月1日或以后建造的船舶上安装的气体燃料发动机或在该日期或以后安装的新增气体燃料发动机或非完全相同替代的气体燃料发动机也视为船用柴油机。</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.22  </w:t>
      </w:r>
      <w:r>
        <w:rPr>
          <w:rFonts w:ascii="Times New Roman" w:hAnsi="Times New Roman" w:eastAsia="宋体" w:cs="Times New Roman"/>
          <w:b/>
          <w:bCs/>
          <w:lang w:bidi="ar"/>
        </w:rPr>
        <w:t>MARPOL交付样本</w:t>
      </w:r>
      <w:r>
        <w:rPr>
          <w:rFonts w:ascii="Times New Roman" w:hAnsi="Times New Roman" w:eastAsia="宋体" w:cs="Times New Roman"/>
          <w:lang w:bidi="ar"/>
        </w:rPr>
        <w:t>系指按本附则第18.8.1条交付的燃油样本。</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.23  </w:t>
      </w:r>
      <w:r>
        <w:rPr>
          <w:rFonts w:ascii="Times New Roman" w:hAnsi="Times New Roman" w:eastAsia="宋体" w:cs="Times New Roman"/>
          <w:b/>
          <w:bCs/>
          <w:lang w:bidi="ar"/>
        </w:rPr>
        <w:t>NOx技术规则</w:t>
      </w:r>
      <w:r>
        <w:rPr>
          <w:rFonts w:ascii="Times New Roman" w:hAnsi="Times New Roman" w:eastAsia="宋体" w:cs="Times New Roman"/>
          <w:lang w:bidi="ar"/>
        </w:rPr>
        <w:t>系指经国际海事组织修正的1997年防污公约缔约国大会决议2通过的船用柴油机氮氧化物排放控制技术规则，但这些修正案应按照防污公约第16条的规定予以通过并生效。</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.24  </w:t>
      </w:r>
      <w:r>
        <w:rPr>
          <w:rFonts w:ascii="Times New Roman" w:hAnsi="Times New Roman" w:eastAsia="宋体" w:cs="Times New Roman"/>
          <w:b/>
          <w:bCs/>
          <w:lang w:bidi="ar"/>
        </w:rPr>
        <w:t>船上燃油样本</w:t>
      </w:r>
      <w:r>
        <w:rPr>
          <w:rFonts w:ascii="Times New Roman" w:hAnsi="Times New Roman" w:eastAsia="宋体" w:cs="Times New Roman"/>
          <w:lang w:bidi="ar"/>
        </w:rPr>
        <w:t>系指船上拟使用或为使用而载运的燃油样本。</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.25  </w:t>
      </w:r>
      <w:r>
        <w:rPr>
          <w:rFonts w:ascii="Times New Roman" w:hAnsi="Times New Roman" w:eastAsia="宋体" w:cs="Times New Roman"/>
          <w:b/>
          <w:bCs/>
          <w:lang w:bidi="ar"/>
        </w:rPr>
        <w:t>消耗臭氧物质</w:t>
      </w:r>
      <w:r>
        <w:rPr>
          <w:rFonts w:ascii="Times New Roman" w:hAnsi="Times New Roman" w:eastAsia="宋体" w:cs="Times New Roman"/>
          <w:lang w:bidi="ar"/>
        </w:rPr>
        <w:t>系指在应用或解释本附则时有效的《1987年消耗臭氧层物质蒙特利尔议定书》第1(4)条中定义的并在该议定书附件A、B、C或E中所列的受控制物质。</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在船上可能有的消耗臭氧物质包括但不限于下列各项：</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Halon1211         溴氯二氟甲烷</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Halon1301         溴三氟甲烷</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Halon2402         1,2-二溴化物-1,1,2,2-四氟乙烷(亦称作Halon114B2)</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CFC-11           三氯氟甲烷</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CFC-12           二氯二氟甲烷</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CFC-113          1,1,2-三氯-1,2,2-三氟乙烷</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CFC-114          1,2-二氯-1,1,2,2-四氟乙烷</w:t>
      </w:r>
    </w:p>
    <w:p>
      <w:pPr>
        <w:pStyle w:val="10"/>
        <w:ind w:left="693" w:leftChars="330" w:firstLine="415" w:firstLineChars="198"/>
        <w:rPr>
          <w:rFonts w:ascii="Times New Roman" w:hAnsi="Times New Roman" w:eastAsia="宋体" w:cs="Times New Roman"/>
          <w:lang w:bidi="ar"/>
        </w:rPr>
      </w:pPr>
      <w:r>
        <w:rPr>
          <w:rFonts w:ascii="Times New Roman" w:hAnsi="Times New Roman" w:eastAsia="宋体" w:cs="Times New Roman"/>
          <w:lang w:bidi="ar"/>
        </w:rPr>
        <w:t>CFC-115          氯五氟乙烷</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.26  </w:t>
      </w:r>
      <w:r>
        <w:rPr>
          <w:rFonts w:ascii="Times New Roman" w:hAnsi="Times New Roman" w:eastAsia="宋体" w:cs="Times New Roman"/>
          <w:b/>
          <w:bCs/>
          <w:lang w:bidi="ar"/>
        </w:rPr>
        <w:t>船上焚烧</w:t>
      </w:r>
      <w:r>
        <w:rPr>
          <w:rFonts w:ascii="Times New Roman" w:hAnsi="Times New Roman" w:eastAsia="宋体" w:cs="Times New Roman"/>
          <w:lang w:bidi="ar"/>
        </w:rPr>
        <w:t>系指将船舶正常作业时产生的废物或其他物质在船上进行焚烧。</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.27  </w:t>
      </w:r>
      <w:r>
        <w:rPr>
          <w:rFonts w:ascii="Times New Roman" w:hAnsi="Times New Roman" w:eastAsia="宋体" w:cs="Times New Roman"/>
          <w:b/>
          <w:bCs/>
          <w:lang w:bidi="ar"/>
        </w:rPr>
        <w:t>船上焚烧炉</w:t>
      </w:r>
      <w:r>
        <w:rPr>
          <w:rFonts w:ascii="Times New Roman" w:hAnsi="Times New Roman" w:eastAsia="宋体" w:cs="Times New Roman"/>
          <w:lang w:bidi="ar"/>
        </w:rPr>
        <w:t>系指以焚烧为主要目的而设计的船上设备。</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.28  </w:t>
      </w:r>
      <w:r>
        <w:rPr>
          <w:rFonts w:ascii="Times New Roman" w:hAnsi="Times New Roman" w:eastAsia="宋体" w:cs="Times New Roman"/>
          <w:b/>
          <w:bCs/>
          <w:lang w:bidi="ar"/>
        </w:rPr>
        <w:t>建造的船舶</w:t>
      </w:r>
      <w:r>
        <w:rPr>
          <w:rFonts w:ascii="Times New Roman" w:hAnsi="Times New Roman" w:eastAsia="宋体" w:cs="Times New Roman"/>
          <w:lang w:bidi="ar"/>
        </w:rPr>
        <w:t>系指已安放龙骨或处于类似建造阶段的船舶。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.29  </w:t>
      </w:r>
      <w:r>
        <w:rPr>
          <w:rFonts w:ascii="Times New Roman" w:hAnsi="Times New Roman" w:eastAsia="宋体" w:cs="Times New Roman"/>
          <w:b/>
          <w:bCs/>
          <w:lang w:bidi="ar"/>
        </w:rPr>
        <w:t>残油</w:t>
      </w:r>
      <w:r>
        <w:rPr>
          <w:rFonts w:ascii="Times New Roman" w:hAnsi="Times New Roman" w:eastAsia="宋体" w:cs="Times New Roman"/>
          <w:lang w:bidi="ar"/>
        </w:rPr>
        <w:t>系指来自燃油或润滑油分离器的油泥，主机或副机的废弃润滑油，或舱底水分离器、油过滤装置或滴油盘的废油。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.30  </w:t>
      </w:r>
      <w:r>
        <w:rPr>
          <w:rFonts w:ascii="Times New Roman" w:hAnsi="Times New Roman" w:eastAsia="宋体" w:cs="Times New Roman"/>
          <w:b/>
          <w:bCs/>
          <w:lang w:bidi="ar"/>
        </w:rPr>
        <w:t>燃油硫含量</w:t>
      </w:r>
      <w:r>
        <w:rPr>
          <w:rFonts w:ascii="Times New Roman" w:hAnsi="Times New Roman" w:eastAsia="宋体" w:cs="Times New Roman"/>
          <w:lang w:bidi="ar"/>
        </w:rPr>
        <w:t>系指燃油中的硫浓度，以% m/m计，按国际海事组织接受的标准进行试验。</w:t>
      </w:r>
      <w:r>
        <w:rPr>
          <w:rFonts w:ascii="Times New Roman" w:hAnsi="Times New Roman" w:eastAsia="宋体" w:cs="Times New Roman"/>
          <w:vertAlign w:val="superscript"/>
          <w:lang w:bidi="ar"/>
        </w:rPr>
        <w:footnoteReference w:id="9"/>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.31  与本附则第15条有关的</w:t>
      </w:r>
      <w:r>
        <w:rPr>
          <w:rFonts w:ascii="Times New Roman" w:hAnsi="Times New Roman" w:eastAsia="宋体" w:cs="Times New Roman"/>
          <w:b/>
          <w:bCs/>
          <w:lang w:bidi="ar"/>
        </w:rPr>
        <w:t>液货船</w:t>
      </w:r>
      <w:r>
        <w:rPr>
          <w:rFonts w:ascii="Times New Roman" w:hAnsi="Times New Roman" w:eastAsia="宋体" w:cs="Times New Roman"/>
          <w:lang w:bidi="ar"/>
        </w:rPr>
        <w:t>系指在防污公约附则I第1条中定义的油船或附则II第1条中定义的化学品船。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.32  </w:t>
      </w:r>
      <w:r>
        <w:rPr>
          <w:rFonts w:ascii="Times New Roman" w:hAnsi="Times New Roman" w:eastAsia="宋体" w:cs="Times New Roman"/>
          <w:b/>
          <w:bCs/>
          <w:lang w:bidi="ar"/>
        </w:rPr>
        <w:t>无人非自航（UNSP）驳船</w:t>
      </w:r>
      <w:r>
        <w:rPr>
          <w:rFonts w:ascii="Times New Roman" w:hAnsi="Times New Roman" w:eastAsia="宋体" w:cs="Times New Roman"/>
          <w:lang w:bidi="ar"/>
        </w:rPr>
        <w:t>系指符合如下条件的驳船：</w:t>
      </w:r>
    </w:p>
    <w:p>
      <w:pPr>
        <w:pStyle w:val="10"/>
        <w:ind w:left="1948" w:leftChars="530" w:hanging="835" w:hangingChars="398"/>
        <w:rPr>
          <w:rFonts w:ascii="Times New Roman" w:hAnsi="Times New Roman" w:eastAsia="宋体" w:cs="Times New Roman"/>
          <w:lang w:bidi="ar"/>
        </w:rPr>
      </w:pPr>
      <w:r>
        <w:rPr>
          <w:rFonts w:ascii="Times New Roman" w:hAnsi="Times New Roman" w:eastAsia="宋体" w:cs="Times New Roman"/>
          <w:lang w:bidi="ar"/>
        </w:rPr>
        <w:t>.1  非机械方式推进；</w:t>
      </w:r>
    </w:p>
    <w:p>
      <w:pPr>
        <w:pStyle w:val="10"/>
        <w:ind w:left="1948" w:leftChars="530" w:hanging="835" w:hangingChars="398"/>
        <w:rPr>
          <w:rFonts w:ascii="Times New Roman" w:hAnsi="Times New Roman" w:eastAsia="宋体" w:cs="Times New Roman"/>
          <w:lang w:bidi="ar"/>
        </w:rPr>
      </w:pPr>
      <w:r>
        <w:rPr>
          <w:rFonts w:ascii="Times New Roman" w:hAnsi="Times New Roman" w:eastAsia="宋体" w:cs="Times New Roman"/>
          <w:lang w:bidi="ar"/>
        </w:rPr>
        <w:t>.2  未安装可能产生本附则所规定的排放的系统、设备和/或机械；和</w:t>
      </w:r>
    </w:p>
    <w:p>
      <w:pPr>
        <w:pStyle w:val="10"/>
        <w:ind w:left="1948" w:leftChars="530" w:hanging="835" w:hangingChars="398"/>
        <w:rPr>
          <w:rFonts w:ascii="Times New Roman" w:hAnsi="Times New Roman" w:eastAsia="宋体" w:cs="Times New Roman"/>
          <w:lang w:bidi="ar"/>
        </w:rPr>
      </w:pPr>
      <w:r>
        <w:rPr>
          <w:rFonts w:ascii="Times New Roman" w:hAnsi="Times New Roman" w:eastAsia="宋体" w:cs="Times New Roman"/>
          <w:lang w:bidi="ar"/>
        </w:rPr>
        <w:t>.3  船上没有人或活的动物。</w:t>
      </w:r>
    </w:p>
    <w:p>
      <w:pPr>
        <w:pStyle w:val="10"/>
        <w:ind w:left="1948" w:leftChars="530" w:hanging="835" w:hangingChars="398"/>
        <w:rPr>
          <w:rFonts w:ascii="Times New Roman" w:hAnsi="Times New Roman" w:eastAsia="宋体" w:cs="Times New Roman"/>
          <w:lang w:bidi="ar"/>
        </w:rPr>
      </w:pPr>
    </w:p>
    <w:p>
      <w:pPr>
        <w:ind w:firstLine="420"/>
        <w:rPr>
          <w:rFonts w:ascii="Times New Roman" w:hAnsi="Times New Roman" w:cs="Times New Roman"/>
          <w:color w:val="FF0000"/>
          <w:u w:val="single"/>
        </w:rPr>
      </w:pPr>
      <w:r>
        <w:rPr>
          <w:rFonts w:ascii="Times New Roman" w:hAnsi="Times New Roman" w:cs="Times New Roman"/>
          <w:color w:val="FF0000"/>
          <w:u w:val="single"/>
        </w:rPr>
        <w:t>2   就第IV节而言：</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  </w:t>
      </w:r>
      <w:r>
        <w:rPr>
          <w:rFonts w:ascii="Times New Roman" w:hAnsi="Times New Roman" w:eastAsia="宋体" w:cs="Times New Roman"/>
          <w:b/>
          <w:bCs/>
          <w:lang w:bidi="ar"/>
        </w:rPr>
        <w:t>2019年9月1日或以后交付的船舶</w:t>
      </w:r>
      <w:r>
        <w:rPr>
          <w:rFonts w:ascii="Times New Roman" w:hAnsi="Times New Roman" w:eastAsia="宋体" w:cs="Times New Roman"/>
          <w:lang w:bidi="ar"/>
        </w:rPr>
        <w:t>系指：</w:t>
      </w:r>
    </w:p>
    <w:p>
      <w:pPr>
        <w:ind w:left="1738" w:leftChars="530" w:hanging="625" w:hangingChars="298"/>
        <w:rPr>
          <w:rFonts w:ascii="Times New Roman" w:hAnsi="Times New Roman" w:cs="Times New Roman"/>
        </w:rPr>
      </w:pPr>
      <w:r>
        <w:rPr>
          <w:rFonts w:ascii="Times New Roman" w:hAnsi="Times New Roman" w:cs="Times New Roman"/>
        </w:rPr>
        <w:t>.1  2015年9月1日或以后签订建造合同；或</w:t>
      </w:r>
    </w:p>
    <w:p>
      <w:pPr>
        <w:ind w:left="1738" w:leftChars="530" w:hanging="625" w:hangingChars="298"/>
        <w:rPr>
          <w:rFonts w:ascii="Times New Roman" w:hAnsi="Times New Roman" w:cs="Times New Roman"/>
        </w:rPr>
      </w:pPr>
      <w:r>
        <w:rPr>
          <w:rFonts w:ascii="Times New Roman" w:hAnsi="Times New Roman" w:cs="Times New Roman"/>
        </w:rPr>
        <w:t>.2  如无建造合同，2016年3月1日或以后安放龙骨或处于类似建造阶段；或</w:t>
      </w:r>
    </w:p>
    <w:p>
      <w:pPr>
        <w:ind w:left="1738" w:leftChars="530" w:hanging="625" w:hangingChars="298"/>
        <w:rPr>
          <w:rFonts w:ascii="Times New Roman" w:hAnsi="Times New Roman" w:cs="Times New Roman"/>
        </w:rPr>
      </w:pPr>
      <w:r>
        <w:rPr>
          <w:rFonts w:ascii="Times New Roman" w:hAnsi="Times New Roman" w:cs="Times New Roman"/>
        </w:rPr>
        <w:t>.3  2019年9月1日或以后交付的船舶。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  </w:t>
      </w:r>
      <w:r>
        <w:rPr>
          <w:rFonts w:ascii="Times New Roman" w:hAnsi="Times New Roman" w:eastAsia="宋体" w:cs="Times New Roman"/>
          <w:b/>
          <w:bCs/>
          <w:lang w:bidi="ar"/>
        </w:rPr>
        <w:t>达到的年度营运CII</w:t>
      </w:r>
      <w:r>
        <w:rPr>
          <w:rFonts w:ascii="Times New Roman" w:hAnsi="Times New Roman" w:eastAsia="宋体" w:cs="Times New Roman"/>
          <w:lang w:bidi="ar"/>
        </w:rPr>
        <w:t>系指单艘船舶按照本附则第26和28条获得的营运碳强度指标值。</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.3  </w:t>
      </w:r>
      <w:r>
        <w:rPr>
          <w:rFonts w:ascii="Times New Roman" w:hAnsi="Times New Roman" w:eastAsia="宋体" w:cs="Times New Roman"/>
          <w:b/>
          <w:bCs/>
          <w:lang w:bidi="ar"/>
        </w:rPr>
        <w:t>Attained EEDI</w:t>
      </w:r>
      <w:r>
        <w:rPr>
          <w:rFonts w:ascii="Times New Roman" w:hAnsi="Times New Roman" w:eastAsia="宋体" w:cs="Times New Roman"/>
          <w:lang w:bidi="ar"/>
        </w:rPr>
        <w:t>系指单艘船舶按本附则第22条获得的EEDI值。</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.4  </w:t>
      </w:r>
      <w:r>
        <w:rPr>
          <w:rFonts w:ascii="Times New Roman" w:hAnsi="Times New Roman" w:eastAsia="宋体" w:cs="Times New Roman"/>
          <w:b/>
          <w:bCs/>
          <w:lang w:bidi="ar"/>
        </w:rPr>
        <w:t>Attained EEXI</w:t>
      </w:r>
      <w:r>
        <w:rPr>
          <w:rFonts w:ascii="Times New Roman" w:hAnsi="Times New Roman" w:eastAsia="宋体" w:cs="Times New Roman"/>
          <w:lang w:bidi="ar"/>
        </w:rPr>
        <w:t>系指单艘船舶按本附则第23条获得的EEXI值。</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.5  </w:t>
      </w:r>
      <w:r>
        <w:rPr>
          <w:rFonts w:ascii="Times New Roman" w:hAnsi="Times New Roman" w:eastAsia="宋体" w:cs="Times New Roman"/>
          <w:b/>
          <w:bCs/>
          <w:lang w:bidi="ar"/>
        </w:rPr>
        <w:t>散货船</w:t>
      </w:r>
      <w:r>
        <w:rPr>
          <w:rFonts w:ascii="Times New Roman" w:hAnsi="Times New Roman" w:eastAsia="宋体" w:cs="Times New Roman"/>
          <w:lang w:bidi="ar"/>
        </w:rPr>
        <w:t>系指经修正的1974年SOLAS公约第XII章第1条定义的主要用于运输散装干货的船舶，包括矿砂船等船型，但不包括兼用船。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.6  </w:t>
      </w:r>
      <w:r>
        <w:rPr>
          <w:rFonts w:ascii="Times New Roman" w:hAnsi="Times New Roman" w:eastAsia="宋体" w:cs="Times New Roman"/>
          <w:b/>
          <w:bCs/>
          <w:lang w:bidi="ar"/>
        </w:rPr>
        <w:t>日历年</w:t>
      </w:r>
      <w:r>
        <w:rPr>
          <w:rFonts w:ascii="Times New Roman" w:hAnsi="Times New Roman" w:eastAsia="宋体" w:cs="Times New Roman"/>
          <w:lang w:bidi="ar"/>
        </w:rPr>
        <w:t>系指从1月1日至12月31日（含）。</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.7  </w:t>
      </w:r>
      <w:r>
        <w:rPr>
          <w:rFonts w:ascii="Times New Roman" w:hAnsi="Times New Roman" w:eastAsia="宋体" w:cs="Times New Roman"/>
          <w:b/>
          <w:bCs/>
          <w:lang w:bidi="ar"/>
        </w:rPr>
        <w:t>兼用船</w:t>
      </w:r>
      <w:r>
        <w:rPr>
          <w:rFonts w:ascii="Times New Roman" w:hAnsi="Times New Roman" w:eastAsia="宋体" w:cs="Times New Roman"/>
          <w:lang w:bidi="ar"/>
        </w:rPr>
        <w:t>系指设计用于载运100%载重量的散装液体和干货的船舶。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.8  </w:t>
      </w:r>
      <w:r>
        <w:rPr>
          <w:rFonts w:ascii="Times New Roman" w:hAnsi="Times New Roman" w:eastAsia="宋体" w:cs="Times New Roman"/>
          <w:b/>
          <w:bCs/>
          <w:lang w:bidi="ar"/>
        </w:rPr>
        <w:t>公司</w:t>
      </w:r>
      <w:r>
        <w:rPr>
          <w:rFonts w:ascii="Times New Roman" w:hAnsi="Times New Roman" w:eastAsia="宋体" w:cs="Times New Roman"/>
          <w:lang w:bidi="ar"/>
        </w:rPr>
        <w:t>系指船舶所有人或其他组织或个人，诸如管理者或已从船舶所有人处接手船舶营运责任并同意承担《国际船舶安全营运和防污染管理规则》及其修正案规定的所有责任和义务的光船租赁人。</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.9  </w:t>
      </w:r>
      <w:r>
        <w:rPr>
          <w:rFonts w:ascii="Times New Roman" w:hAnsi="Times New Roman" w:eastAsia="宋体" w:cs="Times New Roman"/>
          <w:b/>
          <w:bCs/>
          <w:lang w:bidi="ar"/>
        </w:rPr>
        <w:t>集装箱船</w:t>
      </w:r>
      <w:r>
        <w:rPr>
          <w:rFonts w:ascii="Times New Roman" w:hAnsi="Times New Roman" w:eastAsia="宋体" w:cs="Times New Roman"/>
          <w:lang w:bidi="ar"/>
        </w:rPr>
        <w:t>系指专门设计用于在货舱内和甲板上载运集装箱的船舶。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.10  与第IV节有关的</w:t>
      </w:r>
      <w:r>
        <w:rPr>
          <w:rFonts w:ascii="Times New Roman" w:hAnsi="Times New Roman" w:eastAsia="宋体" w:cs="Times New Roman"/>
          <w:b/>
          <w:bCs/>
          <w:lang w:bidi="ar"/>
        </w:rPr>
        <w:t>常规推进</w:t>
      </w:r>
      <w:r>
        <w:rPr>
          <w:rFonts w:ascii="Times New Roman" w:hAnsi="Times New Roman" w:eastAsia="宋体" w:cs="Times New Roman"/>
          <w:lang w:bidi="ar"/>
        </w:rPr>
        <w:t>系指主要以往复式内燃机为原动机并且直接或通过齿轮箱联接推进轴的推进方式。</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.11  与第IV节有关的</w:t>
      </w:r>
      <w:r>
        <w:rPr>
          <w:rFonts w:ascii="Times New Roman" w:hAnsi="Times New Roman" w:eastAsia="宋体" w:cs="Times New Roman"/>
          <w:b/>
          <w:bCs/>
          <w:lang w:bidi="ar"/>
        </w:rPr>
        <w:t>豪华邮轮</w:t>
      </w:r>
      <w:r>
        <w:rPr>
          <w:rFonts w:ascii="Times New Roman" w:hAnsi="Times New Roman" w:eastAsia="宋体" w:cs="Times New Roman"/>
          <w:lang w:bidi="ar"/>
        </w:rPr>
        <w:t>系指无货物甲板且专门设计用于对海上航行中过夜住宿乘客进行商业运输的客船。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.12  </w:t>
      </w:r>
      <w:r>
        <w:rPr>
          <w:rFonts w:ascii="Times New Roman" w:hAnsi="Times New Roman" w:eastAsia="宋体" w:cs="Times New Roman"/>
          <w:b/>
          <w:bCs/>
          <w:lang w:bidi="ar"/>
        </w:rPr>
        <w:t>航行距离</w:t>
      </w:r>
      <w:r>
        <w:rPr>
          <w:rFonts w:ascii="Times New Roman" w:hAnsi="Times New Roman" w:eastAsia="宋体" w:cs="Times New Roman"/>
          <w:lang w:bidi="ar"/>
        </w:rPr>
        <w:t>系指对地的航行距离。</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.12bis  </w:t>
      </w:r>
      <w:r>
        <w:rPr>
          <w:rFonts w:ascii="Times New Roman" w:hAnsi="Times New Roman" w:eastAsia="宋体" w:cs="Times New Roman"/>
          <w:b/>
          <w:bCs/>
          <w:lang w:bidi="ar"/>
        </w:rPr>
        <w:t>航次</w:t>
      </w:r>
      <w:r>
        <w:rPr>
          <w:rFonts w:ascii="Times New Roman" w:hAnsi="Times New Roman" w:eastAsia="宋体" w:cs="Times New Roman"/>
          <w:lang w:bidi="ar"/>
        </w:rPr>
        <w:t>系指船舶在相邻两次靠泊期间的航行、停泊和作业，以上一次靠泊时间为起点，本次靠泊时间为终点。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.13  </w:t>
      </w:r>
      <w:r>
        <w:rPr>
          <w:rFonts w:ascii="Times New Roman" w:hAnsi="Times New Roman" w:eastAsia="宋体" w:cs="Times New Roman"/>
          <w:b/>
          <w:bCs/>
          <w:lang w:bidi="ar"/>
        </w:rPr>
        <w:t>现有船舶</w:t>
      </w:r>
      <w:r>
        <w:rPr>
          <w:rFonts w:ascii="Times New Roman" w:hAnsi="Times New Roman" w:eastAsia="宋体" w:cs="Times New Roman"/>
          <w:lang w:bidi="ar"/>
        </w:rPr>
        <w:t>系非新船的船舶。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.14  与第IV节有关的</w:t>
      </w:r>
      <w:r>
        <w:rPr>
          <w:rFonts w:ascii="Times New Roman" w:hAnsi="Times New Roman" w:eastAsia="宋体" w:cs="Times New Roman"/>
          <w:b/>
          <w:bCs/>
          <w:lang w:bidi="ar"/>
        </w:rPr>
        <w:t>气体运输船</w:t>
      </w:r>
      <w:r>
        <w:rPr>
          <w:rFonts w:ascii="Times New Roman" w:hAnsi="Times New Roman" w:eastAsia="宋体" w:cs="Times New Roman"/>
          <w:lang w:bidi="ar"/>
        </w:rPr>
        <w:t>系指除本条2.16所定义的LNG运输船外的、经建造或改建用于散装运输任何液化气体的货船。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15  </w:t>
      </w:r>
      <w:r>
        <w:rPr>
          <w:rFonts w:ascii="Times New Roman" w:hAnsi="Times New Roman" w:eastAsia="宋体" w:cs="Times New Roman"/>
          <w:b/>
          <w:bCs/>
          <w:lang w:bidi="ar"/>
        </w:rPr>
        <w:t>杂货船</w:t>
      </w:r>
      <w:r>
        <w:rPr>
          <w:rFonts w:ascii="Times New Roman" w:hAnsi="Times New Roman" w:eastAsia="宋体" w:cs="Times New Roman"/>
          <w:lang w:bidi="ar"/>
        </w:rPr>
        <w:t>系指设有多层甲板或单层甲板主要用于载运杂货的船舶。该定义不包括专用干货船，其不属于杂货船基线计算范围，即牲畜运输船、载驳母船、重货运输船、游艇运输船和核燃料运输船。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.16  与本附则第IV节有关的</w:t>
      </w:r>
      <w:r>
        <w:rPr>
          <w:rFonts w:ascii="Times New Roman" w:hAnsi="Times New Roman" w:eastAsia="宋体" w:cs="Times New Roman"/>
          <w:b/>
          <w:bCs/>
          <w:lang w:bidi="ar"/>
        </w:rPr>
        <w:t>LNG运输船</w:t>
      </w:r>
      <w:r>
        <w:rPr>
          <w:rFonts w:ascii="Times New Roman" w:hAnsi="Times New Roman" w:eastAsia="宋体" w:cs="Times New Roman"/>
          <w:lang w:bidi="ar"/>
        </w:rPr>
        <w:t>系指经建造或改建用于散装运输液化天然气（LNG）的货船。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.17  </w:t>
      </w:r>
      <w:r>
        <w:rPr>
          <w:rFonts w:ascii="Times New Roman" w:hAnsi="Times New Roman" w:eastAsia="宋体" w:cs="Times New Roman"/>
          <w:b/>
          <w:bCs/>
          <w:lang w:bidi="ar"/>
        </w:rPr>
        <w:t>重大改建</w:t>
      </w:r>
      <w:r>
        <w:rPr>
          <w:rFonts w:ascii="Times New Roman" w:hAnsi="Times New Roman" w:eastAsia="宋体" w:cs="Times New Roman"/>
          <w:lang w:bidi="ar"/>
        </w:rPr>
        <w:t>系指与本附则第IV节有关的对船舶所作的下述改建：</w:t>
      </w:r>
    </w:p>
    <w:p>
      <w:pPr>
        <w:ind w:left="1528" w:leftChars="530" w:hanging="415" w:hangingChars="198"/>
        <w:rPr>
          <w:rFonts w:ascii="Times New Roman" w:hAnsi="Times New Roman" w:cs="Times New Roman"/>
        </w:rPr>
      </w:pPr>
      <w:r>
        <w:rPr>
          <w:rFonts w:ascii="Times New Roman" w:hAnsi="Times New Roman" w:cs="Times New Roman"/>
        </w:rPr>
        <w:t>.1  实质上改变了该船的尺度、装载容量或发动机功率；或</w:t>
      </w:r>
    </w:p>
    <w:p>
      <w:pPr>
        <w:ind w:left="1528" w:leftChars="530" w:hanging="415" w:hangingChars="198"/>
        <w:rPr>
          <w:rFonts w:ascii="Times New Roman" w:hAnsi="Times New Roman" w:cs="Times New Roman"/>
        </w:rPr>
      </w:pPr>
      <w:r>
        <w:rPr>
          <w:rFonts w:ascii="Times New Roman" w:hAnsi="Times New Roman" w:cs="Times New Roman"/>
        </w:rPr>
        <w:t>.2  改变了该船的类型；或</w:t>
      </w:r>
    </w:p>
    <w:p>
      <w:pPr>
        <w:ind w:left="1528" w:leftChars="530" w:hanging="415" w:hangingChars="198"/>
        <w:rPr>
          <w:rFonts w:ascii="Times New Roman" w:hAnsi="Times New Roman" w:cs="Times New Roman"/>
        </w:rPr>
      </w:pPr>
      <w:r>
        <w:rPr>
          <w:rFonts w:ascii="Times New Roman" w:hAnsi="Times New Roman" w:cs="Times New Roman"/>
        </w:rPr>
        <w:t>.3  根据主管机关的意见，这种改建的目的实际上是为了要延长该船的使用年限；或</w:t>
      </w:r>
    </w:p>
    <w:p>
      <w:pPr>
        <w:ind w:left="1528" w:leftChars="530" w:hanging="415" w:hangingChars="198"/>
        <w:rPr>
          <w:rFonts w:ascii="Times New Roman" w:hAnsi="Times New Roman" w:cs="Times New Roman"/>
        </w:rPr>
      </w:pPr>
      <w:r>
        <w:rPr>
          <w:rFonts w:ascii="Times New Roman" w:hAnsi="Times New Roman" w:cs="Times New Roman"/>
        </w:rPr>
        <w:t>.4  这种改建使得如该船是一艘新船，该船应遵守防污公约中不适用于现有船舶的有关规定；或</w:t>
      </w:r>
    </w:p>
    <w:p>
      <w:pPr>
        <w:ind w:left="1528" w:leftChars="530" w:hanging="415" w:hangingChars="198"/>
        <w:rPr>
          <w:rFonts w:ascii="Times New Roman" w:hAnsi="Times New Roman" w:cs="Times New Roman"/>
        </w:rPr>
      </w:pPr>
      <w:r>
        <w:rPr>
          <w:rFonts w:ascii="Times New Roman" w:hAnsi="Times New Roman" w:cs="Times New Roman"/>
        </w:rPr>
        <w:t>.5  实质上改变了该船的能效并且其包括的改装能使该船超出本附则第24条所述适用的Required EEDI或本附则第25条所述适用的Required EEXI。</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.18  </w:t>
      </w:r>
      <w:r>
        <w:rPr>
          <w:rFonts w:ascii="Times New Roman" w:hAnsi="Times New Roman" w:eastAsia="宋体" w:cs="Times New Roman"/>
          <w:b/>
          <w:bCs/>
          <w:lang w:bidi="ar"/>
        </w:rPr>
        <w:t>新船</w:t>
      </w:r>
      <w:r>
        <w:rPr>
          <w:rFonts w:ascii="Times New Roman" w:hAnsi="Times New Roman" w:eastAsia="宋体" w:cs="Times New Roman"/>
          <w:lang w:bidi="ar"/>
        </w:rPr>
        <w:t>系指</w:t>
      </w:r>
    </w:p>
    <w:p>
      <w:pPr>
        <w:pStyle w:val="10"/>
        <w:ind w:left="1948" w:leftChars="530" w:hanging="835" w:hangingChars="398"/>
        <w:rPr>
          <w:rFonts w:ascii="Times New Roman" w:hAnsi="Times New Roman" w:eastAsia="宋体" w:cs="Times New Roman"/>
          <w:lang w:bidi="ar"/>
        </w:rPr>
      </w:pPr>
      <w:r>
        <w:rPr>
          <w:rFonts w:ascii="Times New Roman" w:hAnsi="Times New Roman" w:eastAsia="宋体" w:cs="Times New Roman"/>
          <w:lang w:bidi="ar"/>
        </w:rPr>
        <w:t>.1  2013年1月1日或以后签订建造合同；或</w:t>
      </w:r>
    </w:p>
    <w:p>
      <w:pPr>
        <w:pStyle w:val="10"/>
        <w:ind w:left="1948" w:leftChars="530" w:hanging="835" w:hangingChars="398"/>
        <w:rPr>
          <w:rFonts w:ascii="Times New Roman" w:hAnsi="Times New Roman" w:eastAsia="宋体" w:cs="Times New Roman"/>
          <w:lang w:bidi="ar"/>
        </w:rPr>
      </w:pPr>
      <w:r>
        <w:rPr>
          <w:rFonts w:ascii="Times New Roman" w:hAnsi="Times New Roman" w:eastAsia="宋体" w:cs="Times New Roman"/>
          <w:lang w:bidi="ar"/>
        </w:rPr>
        <w:t>.2  无建造合同，2013年7月1日或以后安放龙骨或处于类似建造阶段；或</w:t>
      </w:r>
    </w:p>
    <w:p>
      <w:pPr>
        <w:pStyle w:val="10"/>
        <w:ind w:left="1948" w:leftChars="530" w:hanging="835" w:hangingChars="398"/>
        <w:rPr>
          <w:rFonts w:ascii="Times New Roman" w:hAnsi="Times New Roman" w:eastAsia="宋体" w:cs="Times New Roman"/>
          <w:lang w:bidi="ar"/>
        </w:rPr>
      </w:pPr>
      <w:r>
        <w:rPr>
          <w:rFonts w:ascii="Times New Roman" w:hAnsi="Times New Roman" w:eastAsia="宋体" w:cs="Times New Roman"/>
          <w:lang w:bidi="ar"/>
        </w:rPr>
        <w:t>.3  2015年7月1日或以后交付的船舶。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.19  与本附则第IV节有关的</w:t>
      </w:r>
      <w:r>
        <w:rPr>
          <w:rFonts w:ascii="Times New Roman" w:hAnsi="Times New Roman" w:eastAsia="宋体" w:cs="Times New Roman"/>
          <w:b/>
          <w:bCs/>
          <w:lang w:bidi="ar"/>
        </w:rPr>
        <w:t>非常规推进</w:t>
      </w:r>
      <w:r>
        <w:rPr>
          <w:rFonts w:ascii="Times New Roman" w:hAnsi="Times New Roman" w:eastAsia="宋体" w:cs="Times New Roman"/>
          <w:lang w:bidi="ar"/>
        </w:rPr>
        <w:t>系指除常规推进以外的推进方式，包括柴油－电力推进、涡轮推进以及混合推进系统。</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.20  </w:t>
      </w:r>
      <w:r>
        <w:rPr>
          <w:rFonts w:ascii="Times New Roman" w:hAnsi="Times New Roman" w:eastAsia="宋体" w:cs="Times New Roman"/>
          <w:b/>
          <w:bCs/>
          <w:lang w:bidi="ar"/>
        </w:rPr>
        <w:t>客船</w:t>
      </w:r>
      <w:r>
        <w:rPr>
          <w:rFonts w:ascii="Times New Roman" w:hAnsi="Times New Roman" w:eastAsia="宋体" w:cs="Times New Roman"/>
          <w:lang w:bidi="ar"/>
        </w:rPr>
        <w:t>系指载客超过12人的船舶。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.21  </w:t>
      </w:r>
      <w:r>
        <w:rPr>
          <w:rFonts w:ascii="Times New Roman" w:hAnsi="Times New Roman" w:eastAsia="宋体" w:cs="Times New Roman"/>
          <w:b/>
          <w:bCs/>
          <w:lang w:bidi="ar"/>
        </w:rPr>
        <w:t>《极地规则》</w:t>
      </w:r>
      <w:r>
        <w:rPr>
          <w:rFonts w:ascii="Times New Roman" w:hAnsi="Times New Roman" w:eastAsia="宋体" w:cs="Times New Roman"/>
          <w:lang w:bidi="ar"/>
        </w:rPr>
        <w:t>系指MSC.385(94)号和MEPC.264(68)号决议通过可能经修正的《国际极地水域操作船舶规则》，包括引言、第I-A和第II-A部分、第I-B和第II-B部分，条件是：</w:t>
      </w:r>
    </w:p>
    <w:p>
      <w:pPr>
        <w:pStyle w:val="10"/>
        <w:ind w:left="1528" w:leftChars="530" w:hanging="415" w:hangingChars="198"/>
        <w:rPr>
          <w:rFonts w:ascii="Times New Roman" w:hAnsi="Times New Roman" w:eastAsia="宋体" w:cs="Times New Roman"/>
          <w:lang w:bidi="ar"/>
        </w:rPr>
      </w:pPr>
      <w:r>
        <w:rPr>
          <w:rFonts w:ascii="Times New Roman" w:hAnsi="Times New Roman" w:eastAsia="宋体" w:cs="Times New Roman"/>
          <w:lang w:bidi="ar"/>
        </w:rPr>
        <w:t>.1  《极地规则》引言和第II-A部分第1章与环境相关规定的修正案已按防污公约第16条关于适用于附件附录的修正程序的规定通过、实施和生效；和</w:t>
      </w:r>
    </w:p>
    <w:p>
      <w:pPr>
        <w:pStyle w:val="10"/>
        <w:ind w:left="1528" w:leftChars="530" w:hanging="415" w:hangingChars="198"/>
        <w:rPr>
          <w:rFonts w:ascii="Times New Roman" w:hAnsi="Times New Roman" w:eastAsia="宋体" w:cs="Times New Roman"/>
          <w:lang w:bidi="ar"/>
        </w:rPr>
      </w:pPr>
      <w:r>
        <w:rPr>
          <w:rFonts w:ascii="Times New Roman" w:hAnsi="Times New Roman" w:eastAsia="宋体" w:cs="Times New Roman"/>
          <w:lang w:bidi="ar"/>
        </w:rPr>
        <w:t>.2  海上环境保护委员会根据其程序规则通过了《极地规则》第II-B部分的修正案。</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.22  </w:t>
      </w:r>
      <w:r>
        <w:rPr>
          <w:rFonts w:ascii="Times New Roman" w:hAnsi="Times New Roman" w:eastAsia="宋体" w:cs="Times New Roman"/>
          <w:b/>
          <w:bCs/>
          <w:lang w:bidi="ar"/>
        </w:rPr>
        <w:t>冷藏货船</w:t>
      </w:r>
      <w:r>
        <w:rPr>
          <w:rFonts w:ascii="Times New Roman" w:hAnsi="Times New Roman" w:eastAsia="宋体" w:cs="Times New Roman"/>
          <w:lang w:bidi="ar"/>
        </w:rPr>
        <w:t>系指专门设计用于在货舱内载运冷藏货物的船舶。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.23  </w:t>
      </w:r>
      <w:r>
        <w:rPr>
          <w:rFonts w:ascii="Times New Roman" w:hAnsi="Times New Roman" w:eastAsia="宋体" w:cs="Times New Roman"/>
          <w:b/>
          <w:bCs/>
          <w:lang w:bidi="ar"/>
        </w:rPr>
        <w:t>Required年度营运CII</w:t>
      </w:r>
      <w:r>
        <w:rPr>
          <w:rFonts w:ascii="Times New Roman" w:hAnsi="Times New Roman" w:eastAsia="宋体" w:cs="Times New Roman"/>
          <w:lang w:bidi="ar"/>
        </w:rPr>
        <w:t>系指按本附则第26和28条对特定船型和尺度达到的年度营运CII的目标值。</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.24  </w:t>
      </w:r>
      <w:r>
        <w:rPr>
          <w:rFonts w:ascii="Times New Roman" w:hAnsi="Times New Roman" w:eastAsia="宋体" w:cs="Times New Roman"/>
          <w:b/>
          <w:bCs/>
          <w:lang w:bidi="ar"/>
        </w:rPr>
        <w:t>Required EEDI</w:t>
      </w:r>
      <w:r>
        <w:rPr>
          <w:rFonts w:ascii="Times New Roman" w:hAnsi="Times New Roman" w:eastAsia="宋体" w:cs="Times New Roman"/>
          <w:lang w:bidi="ar"/>
        </w:rPr>
        <w:t>系指本附则第24条对特定船型和尺度所允许的Attained EEDI最大值。</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.25  </w:t>
      </w:r>
      <w:r>
        <w:rPr>
          <w:rFonts w:ascii="Times New Roman" w:hAnsi="Times New Roman" w:eastAsia="宋体" w:cs="Times New Roman"/>
          <w:b/>
          <w:bCs/>
          <w:lang w:bidi="ar"/>
        </w:rPr>
        <w:t>Required EEXI</w:t>
      </w:r>
      <w:r>
        <w:rPr>
          <w:rFonts w:ascii="Times New Roman" w:hAnsi="Times New Roman" w:eastAsia="宋体" w:cs="Times New Roman"/>
          <w:lang w:bidi="ar"/>
        </w:rPr>
        <w:t>系指本附则第25条对特定船型和尺度所允许的Attained EEXI最大值。</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.26  </w:t>
      </w:r>
      <w:r>
        <w:rPr>
          <w:rFonts w:ascii="Times New Roman" w:hAnsi="Times New Roman" w:eastAsia="宋体" w:cs="Times New Roman"/>
          <w:b/>
          <w:bCs/>
          <w:lang w:bidi="ar"/>
        </w:rPr>
        <w:t>滚装货船</w:t>
      </w:r>
      <w:r>
        <w:rPr>
          <w:rFonts w:ascii="Times New Roman" w:hAnsi="Times New Roman" w:eastAsia="宋体" w:cs="Times New Roman"/>
          <w:lang w:bidi="ar"/>
        </w:rPr>
        <w:t>系指设计用于载运滚装运货单元的船舶。</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.27  </w:t>
      </w:r>
      <w:r>
        <w:rPr>
          <w:rFonts w:ascii="Times New Roman" w:hAnsi="Times New Roman" w:eastAsia="宋体" w:cs="Times New Roman"/>
          <w:b/>
          <w:bCs/>
          <w:lang w:bidi="ar"/>
        </w:rPr>
        <w:t>滚装货船（车辆运输船）</w:t>
      </w:r>
      <w:r>
        <w:rPr>
          <w:rFonts w:ascii="Times New Roman" w:hAnsi="Times New Roman" w:eastAsia="宋体" w:cs="Times New Roman"/>
          <w:lang w:bidi="ar"/>
        </w:rPr>
        <w:t>系指具有多层甲板的设计用于载运空的小汽车和卡车的滚装货船。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.28  </w:t>
      </w:r>
      <w:r>
        <w:rPr>
          <w:rFonts w:ascii="Times New Roman" w:hAnsi="Times New Roman" w:eastAsia="宋体" w:cs="Times New Roman"/>
          <w:b/>
          <w:bCs/>
          <w:lang w:bidi="ar"/>
        </w:rPr>
        <w:t>滚装客船</w:t>
      </w:r>
      <w:r>
        <w:rPr>
          <w:rFonts w:ascii="Times New Roman" w:hAnsi="Times New Roman" w:eastAsia="宋体" w:cs="Times New Roman"/>
          <w:lang w:bidi="ar"/>
        </w:rPr>
        <w:t>系指具有滚装货物处所的客船。</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 xml:space="preserve">.29  </w:t>
      </w:r>
      <w:r>
        <w:rPr>
          <w:rFonts w:ascii="Times New Roman" w:hAnsi="Times New Roman" w:eastAsia="宋体" w:cs="Times New Roman"/>
          <w:b/>
          <w:bCs/>
          <w:lang w:bidi="ar"/>
        </w:rPr>
        <w:t>液货船</w:t>
      </w:r>
      <w:r>
        <w:rPr>
          <w:rFonts w:ascii="Times New Roman" w:hAnsi="Times New Roman" w:eastAsia="宋体" w:cs="Times New Roman"/>
          <w:lang w:bidi="ar"/>
        </w:rPr>
        <w:t>系指在防污公约附则I第1条中定义的油船或附则II第1条中定义的化学品船或NLS液货船。</w:t>
      </w:r>
      <w:r>
        <w:rPr>
          <w:rFonts w:hint="eastAsia" w:ascii="Times New Roman" w:hAnsi="Times New Roman" w:eastAsia="宋体" w:cs="Times New Roman"/>
          <w:lang w:bidi="ar"/>
        </w:rPr>
        <w:t>”</w:t>
      </w:r>
    </w:p>
    <w:p>
      <w:pPr>
        <w:pStyle w:val="10"/>
        <w:ind w:left="1108" w:leftChars="330" w:hanging="415" w:hangingChars="198"/>
        <w:rPr>
          <w:rFonts w:ascii="Times New Roman" w:hAnsi="Times New Roman" w:eastAsia="宋体" w:cs="Times New Roman"/>
          <w:lang w:bidi="ar"/>
        </w:rPr>
      </w:pPr>
    </w:p>
    <w:p>
      <w:pPr>
        <w:ind w:firstLine="420"/>
        <w:rPr>
          <w:rFonts w:ascii="Times New Roman" w:hAnsi="Times New Roman" w:eastAsia="宋体" w:cs="Times New Roman"/>
          <w:lang w:bidi="ar"/>
        </w:rPr>
      </w:pPr>
      <w:r>
        <w:rPr>
          <w:rFonts w:hint="eastAsia" w:ascii="Times New Roman" w:hAnsi="Times New Roman" w:cs="Times New Roman"/>
          <w:color w:val="FF0000"/>
          <w:u w:val="single"/>
        </w:rPr>
        <w:t>3</w:t>
      </w:r>
      <w:r>
        <w:rPr>
          <w:rFonts w:ascii="Times New Roman" w:hAnsi="Times New Roman" w:cs="Times New Roman"/>
          <w:color w:val="FF0000"/>
          <w:u w:val="single"/>
        </w:rPr>
        <w:t xml:space="preserve">   就</w:t>
      </w:r>
      <w:r>
        <w:rPr>
          <w:rFonts w:hint="eastAsia" w:ascii="Times New Roman" w:hAnsi="Times New Roman" w:cs="Times New Roman"/>
          <w:color w:val="FF0000"/>
          <w:u w:val="single"/>
        </w:rPr>
        <w:t>第15.8条、第15.9条要求</w:t>
      </w:r>
      <w:r>
        <w:rPr>
          <w:rFonts w:ascii="Times New Roman" w:hAnsi="Times New Roman" w:cs="Times New Roman"/>
          <w:color w:val="FF0000"/>
          <w:u w:val="single"/>
        </w:rPr>
        <w:t>而言：</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.1</w:t>
      </w:r>
      <w:r>
        <w:rPr>
          <w:rFonts w:hint="eastAsia" w:ascii="Times New Roman" w:hAnsi="Times New Roman" w:eastAsia="宋体" w:cs="Times New Roman"/>
          <w:b/>
          <w:bCs/>
          <w:lang w:bidi="ar"/>
        </w:rPr>
        <w:t xml:space="preserve">  油品</w:t>
      </w:r>
      <w:r>
        <w:rPr>
          <w:rFonts w:hint="eastAsia" w:ascii="Times New Roman" w:hAnsi="Times New Roman" w:eastAsia="宋体" w:cs="Times New Roman"/>
          <w:lang w:bidi="ar"/>
        </w:rPr>
        <w:t>系指原油、汽油（包括含醇汽油、航空汽油）、航空煤油、石脑油的统称。</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.2 </w:t>
      </w:r>
      <w:r>
        <w:rPr>
          <w:rFonts w:hint="eastAsia" w:ascii="Times New Roman" w:hAnsi="Times New Roman" w:eastAsia="宋体" w:cs="Times New Roman"/>
          <w:b/>
          <w:bCs/>
          <w:lang w:bidi="ar"/>
        </w:rPr>
        <w:t xml:space="preserve"> 含醇汽油</w:t>
      </w:r>
      <w:r>
        <w:rPr>
          <w:rFonts w:hint="eastAsia" w:ascii="Times New Roman" w:hAnsi="Times New Roman" w:eastAsia="宋体" w:cs="Times New Roman"/>
          <w:lang w:bidi="ar"/>
        </w:rPr>
        <w:t>系指含有 10%及以下乙醇燃料的汽油（E10）或含有 30%及以下甲醇燃料的汽油（M30、M15 等）。</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.3  </w:t>
      </w:r>
      <w:r>
        <w:rPr>
          <w:rFonts w:hint="eastAsia" w:ascii="Times New Roman" w:hAnsi="Times New Roman" w:eastAsia="宋体" w:cs="Times New Roman"/>
          <w:b/>
          <w:bCs/>
          <w:lang w:bidi="ar"/>
        </w:rPr>
        <w:t>油船</w:t>
      </w:r>
      <w:r>
        <w:rPr>
          <w:rFonts w:hint="eastAsia" w:ascii="Times New Roman" w:hAnsi="Times New Roman" w:eastAsia="宋体" w:cs="Times New Roman"/>
          <w:lang w:bidi="ar"/>
        </w:rPr>
        <w:t>系指专门用于运输油品的船舶。</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.4  </w:t>
      </w:r>
      <w:r>
        <w:rPr>
          <w:rFonts w:hint="eastAsia" w:ascii="Times New Roman" w:hAnsi="Times New Roman" w:eastAsia="宋体" w:cs="Times New Roman"/>
          <w:b/>
          <w:bCs/>
          <w:lang w:bidi="ar"/>
        </w:rPr>
        <w:t>挥发性有机物 （VOCs）</w:t>
      </w:r>
      <w:r>
        <w:rPr>
          <w:rFonts w:hint="eastAsia" w:ascii="Times New Roman" w:hAnsi="Times New Roman" w:eastAsia="宋体" w:cs="Times New Roman"/>
          <w:lang w:bidi="ar"/>
        </w:rPr>
        <w:t>系指参与大气光化学反应的有机化合物，或者根据有关规定确定的有机化合物。</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.5  </w:t>
      </w:r>
      <w:r>
        <w:rPr>
          <w:rFonts w:hint="eastAsia" w:ascii="Times New Roman" w:hAnsi="Times New Roman" w:eastAsia="宋体" w:cs="Times New Roman"/>
          <w:b/>
          <w:bCs/>
          <w:lang w:bidi="ar"/>
        </w:rPr>
        <w:t>油气</w:t>
      </w:r>
      <w:r>
        <w:rPr>
          <w:rFonts w:hint="eastAsia" w:ascii="Times New Roman" w:hAnsi="Times New Roman" w:eastAsia="宋体" w:cs="Times New Roman"/>
          <w:lang w:bidi="ar"/>
        </w:rPr>
        <w:t>系指油品运输过程中产生的 VOCs，本章采用非甲烷总烃作为油气排放控制项目。</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.6  </w:t>
      </w:r>
      <w:r>
        <w:rPr>
          <w:rFonts w:hint="eastAsia" w:ascii="Times New Roman" w:hAnsi="Times New Roman" w:eastAsia="宋体" w:cs="Times New Roman"/>
          <w:b/>
          <w:bCs/>
          <w:lang w:bidi="ar"/>
        </w:rPr>
        <w:t>油船油气密封点</w:t>
      </w:r>
      <w:r>
        <w:rPr>
          <w:rFonts w:hint="eastAsia" w:ascii="Times New Roman" w:hAnsi="Times New Roman" w:eastAsia="宋体" w:cs="Times New Roman"/>
          <w:lang w:bidi="ar"/>
        </w:rPr>
        <w:t>系指油船油气回收管线法兰盲板。</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.7  </w:t>
      </w:r>
      <w:r>
        <w:rPr>
          <w:rFonts w:hint="eastAsia" w:ascii="Times New Roman" w:hAnsi="Times New Roman" w:eastAsia="宋体" w:cs="Times New Roman"/>
          <w:b/>
          <w:bCs/>
          <w:lang w:bidi="ar"/>
        </w:rPr>
        <w:t>泄漏检测值</w:t>
      </w:r>
      <w:r>
        <w:rPr>
          <w:rFonts w:hint="eastAsia" w:ascii="Times New Roman" w:hAnsi="Times New Roman" w:eastAsia="宋体" w:cs="Times New Roman"/>
          <w:lang w:bidi="ar"/>
        </w:rPr>
        <w:t>系指采用规定的监测方法，检测仪器探测到密封点的 VOCs 浓度扣除环境本底值后的净值，以碳的摩尔分数表示。</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 xml:space="preserve">.8  </w:t>
      </w:r>
      <w:r>
        <w:rPr>
          <w:rFonts w:hint="eastAsia" w:ascii="Times New Roman" w:hAnsi="Times New Roman" w:eastAsia="宋体" w:cs="Times New Roman"/>
          <w:b/>
          <w:bCs/>
          <w:lang w:bidi="ar"/>
        </w:rPr>
        <w:t>油气收集系统</w:t>
      </w:r>
      <w:r>
        <w:rPr>
          <w:rFonts w:hint="eastAsia" w:ascii="Times New Roman" w:hAnsi="Times New Roman" w:eastAsia="宋体" w:cs="Times New Roman"/>
          <w:lang w:bidi="ar"/>
        </w:rPr>
        <w:t>系指用于装卸油时将油气密闭输入/输出罐体并进行回收的装置；油气回收系统包括油气回收耦合阀、油气回收阀、通气阀、气动联锁阀、密封盖、控制管路和连接管路等。”</w:t>
      </w:r>
    </w:p>
    <w:p>
      <w:pPr>
        <w:pStyle w:val="10"/>
        <w:ind w:firstLine="420" w:firstLineChars="200"/>
        <w:rPr>
          <w:rFonts w:ascii="Times New Roman" w:hAnsi="Times New Roman" w:eastAsia="楷体" w:cs="Times New Roman"/>
          <w:snapToGrid w:val="0"/>
          <w:color w:val="0000FF"/>
          <w:kern w:val="0"/>
        </w:rPr>
      </w:pPr>
    </w:p>
    <w:p>
      <w:pPr>
        <w:pStyle w:val="10"/>
        <w:jc w:val="center"/>
        <w:outlineLvl w:val="3"/>
        <w:rPr>
          <w:rFonts w:hAnsi="宋体"/>
          <w:b/>
          <w:sz w:val="24"/>
        </w:rPr>
      </w:pPr>
      <w:bookmarkStart w:id="69" w:name="_Toc14048"/>
      <w:r>
        <w:rPr>
          <w:rFonts w:hint="eastAsia" w:ascii="Times New Roman" w:hAnsi="Times New Roman" w:eastAsia="黑体"/>
          <w:bCs/>
        </w:rPr>
        <w:t>第3条  例外和免除</w:t>
      </w:r>
      <w:bookmarkEnd w:id="69"/>
    </w:p>
    <w:p>
      <w:pPr>
        <w:adjustRightInd w:val="0"/>
        <w:snapToGrid w:val="0"/>
        <w:ind w:firstLine="411" w:firstLineChars="196"/>
        <w:rPr>
          <w:rFonts w:ascii="宋体" w:hAnsi="宋体"/>
          <w:bCs/>
        </w:rPr>
      </w:pPr>
    </w:p>
    <w:p>
      <w:pPr>
        <w:adjustRightInd w:val="0"/>
        <w:snapToGrid w:val="0"/>
        <w:ind w:firstLine="420" w:firstLineChars="200"/>
        <w:rPr>
          <w:rFonts w:ascii="楷体" w:hAnsi="楷体" w:eastAsia="楷体"/>
        </w:rPr>
      </w:pPr>
      <w:r>
        <w:rPr>
          <w:rFonts w:ascii="楷体" w:hAnsi="楷体" w:eastAsia="楷体"/>
        </w:rPr>
        <w:t>原2改为：</w:t>
      </w:r>
    </w:p>
    <w:p>
      <w:pPr>
        <w:adjustRightInd w:val="0"/>
        <w:snapToGrid w:val="0"/>
        <w:ind w:firstLine="420" w:firstLineChars="200"/>
        <w:rPr>
          <w:rFonts w:ascii="Times New Roman" w:hAnsi="Times New Roman" w:cs="Times New Roman"/>
        </w:rPr>
      </w:pPr>
      <w:r>
        <w:rPr>
          <w:rFonts w:hint="eastAsia" w:ascii="宋体" w:hAnsi="宋体"/>
        </w:rPr>
        <w:t>“</w:t>
      </w:r>
      <w:r>
        <w:rPr>
          <w:rFonts w:ascii="Times New Roman" w:hAnsi="Times New Roman" w:cs="Times New Roman"/>
        </w:rPr>
        <w:t>2  缔约国主管机关可与其他主管机关适当合作，对为研发船舶减排和控制技术及发动机设计</w:t>
      </w:r>
      <w:r>
        <w:rPr>
          <w:rFonts w:ascii="Times New Roman" w:hAnsi="Times New Roman" w:cs="Times New Roman"/>
          <w:color w:val="FF0000"/>
        </w:rPr>
        <w:t>方案</w:t>
      </w:r>
      <w:r>
        <w:rPr>
          <w:rFonts w:ascii="Times New Roman" w:hAnsi="Times New Roman" w:cs="Times New Roman"/>
          <w:strike/>
          <w:color w:val="FF0000"/>
        </w:rPr>
        <w:t>程序</w:t>
      </w:r>
      <w:r>
        <w:rPr>
          <w:rFonts w:ascii="Times New Roman" w:hAnsi="Times New Roman" w:cs="Times New Roman"/>
        </w:rPr>
        <w:t>而进行试航的船舶，签发对本附则具体规定的免除证书。只有当本附则或经修订的《2008年NO</w:t>
      </w:r>
      <w:r>
        <w:rPr>
          <w:rFonts w:ascii="Times New Roman" w:hAnsi="Times New Roman" w:cs="Times New Roman"/>
          <w:vertAlign w:val="subscript"/>
        </w:rPr>
        <w:t>X</w:t>
      </w:r>
      <w:r>
        <w:rPr>
          <w:rFonts w:ascii="Times New Roman" w:hAnsi="Times New Roman" w:cs="Times New Roman"/>
        </w:rPr>
        <w:t>技术规则》中具体规定的应用会妨碍此类技术或程序的研发时，才能给予此种免除。</w:t>
      </w:r>
      <w:r>
        <w:rPr>
          <w:rFonts w:ascii="Times New Roman" w:hAnsi="Times New Roman" w:cs="Times New Roman"/>
          <w:color w:val="000000" w:themeColor="text1"/>
          <w14:textFill>
            <w14:solidFill>
              <w14:schemeClr w14:val="tx1"/>
            </w14:solidFill>
          </w14:textFill>
        </w:rPr>
        <w:t>按本条签发的免除许可不应免除第</w:t>
      </w:r>
      <w:r>
        <w:rPr>
          <w:rFonts w:ascii="Times New Roman" w:hAnsi="Times New Roman" w:cs="Times New Roman"/>
          <w:strike/>
          <w:color w:val="FF0000"/>
        </w:rPr>
        <w:t>22A</w:t>
      </w:r>
      <w:r>
        <w:rPr>
          <w:rFonts w:ascii="Times New Roman" w:hAnsi="Times New Roman" w:cs="Times New Roman"/>
          <w:color w:val="FF0000"/>
          <w:u w:val="single"/>
        </w:rPr>
        <w:t>27</w:t>
      </w:r>
      <w:r>
        <w:rPr>
          <w:rFonts w:ascii="Times New Roman" w:hAnsi="Times New Roman" w:cs="Times New Roman"/>
          <w:color w:val="000000" w:themeColor="text1"/>
          <w14:textFill>
            <w14:solidFill>
              <w14:schemeClr w14:val="tx1"/>
            </w14:solidFill>
          </w14:textFill>
        </w:rPr>
        <w:t>条规定的船舶报告要求，也不应改变根据第</w:t>
      </w:r>
      <w:r>
        <w:rPr>
          <w:rFonts w:ascii="Times New Roman" w:hAnsi="Times New Roman" w:cs="Times New Roman"/>
          <w:strike/>
          <w:color w:val="FF0000"/>
        </w:rPr>
        <w:t>22A</w:t>
      </w:r>
      <w:r>
        <w:rPr>
          <w:rFonts w:ascii="Times New Roman" w:hAnsi="Times New Roman" w:cs="Times New Roman"/>
          <w:color w:val="FF0000"/>
          <w:u w:val="single"/>
        </w:rPr>
        <w:t>27</w:t>
      </w:r>
      <w:r>
        <w:rPr>
          <w:rFonts w:ascii="Times New Roman" w:hAnsi="Times New Roman" w:cs="Times New Roman"/>
          <w:color w:val="000000" w:themeColor="text1"/>
          <w14:textFill>
            <w14:solidFill>
              <w14:schemeClr w14:val="tx1"/>
            </w14:solidFill>
          </w14:textFill>
        </w:rPr>
        <w:t>条规定所需报告数据的类型和范围。</w:t>
      </w:r>
      <w:r>
        <w:rPr>
          <w:rFonts w:ascii="Times New Roman" w:hAnsi="Times New Roman" w:cs="Times New Roman"/>
        </w:rPr>
        <w:t>获得免除证书的船舶应视需要尽可能少，同时应满足下列规定：</w:t>
      </w:r>
    </w:p>
    <w:p>
      <w:pPr>
        <w:adjustRightInd w:val="0"/>
        <w:snapToGrid w:val="0"/>
        <w:ind w:left="1058" w:leftChars="304" w:hanging="420" w:hangingChars="200"/>
        <w:rPr>
          <w:rFonts w:ascii="Times New Roman" w:hAnsi="Times New Roman" w:cs="Times New Roman"/>
        </w:rPr>
      </w:pPr>
      <w:r>
        <w:rPr>
          <w:rFonts w:ascii="Times New Roman" w:hAnsi="Times New Roman" w:cs="Times New Roman"/>
        </w:rPr>
        <w:t>.1  对于每缸排量低于30</w:t>
      </w:r>
      <w:r>
        <w:rPr>
          <w:rFonts w:ascii="Times New Roman" w:hAnsi="Times New Roman" w:cs="Times New Roman"/>
          <w:strike/>
          <w:color w:val="FF0000"/>
        </w:rPr>
        <w:t>升</w:t>
      </w:r>
      <w:r>
        <w:rPr>
          <w:rFonts w:ascii="Times New Roman" w:hAnsi="Times New Roman" w:cs="Times New Roman"/>
          <w:color w:val="FF0000"/>
          <w:u w:val="single"/>
        </w:rPr>
        <w:t>L</w:t>
      </w:r>
      <w:r>
        <w:rPr>
          <w:rFonts w:ascii="Times New Roman" w:hAnsi="Times New Roman" w:cs="Times New Roman"/>
        </w:rPr>
        <w:t>的船用柴油机，试航时间不应超过18个月。如需更多时间，授予免除证书的一个或多个主管机关可对免除证书进行换新，增加期限为18个月；或</w:t>
      </w:r>
    </w:p>
    <w:p>
      <w:pPr>
        <w:adjustRightInd w:val="0"/>
        <w:snapToGrid w:val="0"/>
        <w:ind w:left="1058" w:leftChars="304" w:hanging="420" w:hangingChars="200"/>
        <w:rPr>
          <w:rFonts w:ascii="宋体" w:hAnsi="宋体"/>
        </w:rPr>
      </w:pPr>
      <w:r>
        <w:rPr>
          <w:rFonts w:ascii="Times New Roman" w:hAnsi="Times New Roman" w:cs="Times New Roman"/>
        </w:rPr>
        <w:t>.2  对于每缸排量为30</w:t>
      </w:r>
      <w:r>
        <w:rPr>
          <w:rFonts w:ascii="Times New Roman" w:hAnsi="Times New Roman" w:cs="Times New Roman"/>
          <w:strike/>
          <w:color w:val="FF0000"/>
        </w:rPr>
        <w:t>升</w:t>
      </w:r>
      <w:r>
        <w:rPr>
          <w:rFonts w:ascii="Times New Roman" w:hAnsi="Times New Roman" w:cs="Times New Roman"/>
          <w:color w:val="FF0000"/>
          <w:u w:val="single"/>
        </w:rPr>
        <w:t>L</w:t>
      </w:r>
      <w:r>
        <w:rPr>
          <w:rFonts w:ascii="Times New Roman" w:hAnsi="Times New Roman" w:cs="Times New Roman"/>
        </w:rPr>
        <w:t>或以上的船用柴油机，船舶试航时间不应超过5年，并需要发证的一个或多个主管机关在每次中间检验时进行进度评审。如试验未能符合免除条件或确定该技术或程序在船舶减排或控排方面产生有效结果的可能性不大，则基于该评审可撤销该免除证书。如评审的一个或多个主管机关确定进行某项技术或程序的试验需要更多时间，则可对免除证书进行换新，增加期限不超过5年。</w:t>
      </w:r>
      <w:r>
        <w:rPr>
          <w:rFonts w:hint="eastAsia" w:ascii="宋体" w:hAnsi="宋体"/>
        </w:rPr>
        <w:t>”</w:t>
      </w:r>
    </w:p>
    <w:p>
      <w:pPr>
        <w:adjustRightInd w:val="0"/>
        <w:snapToGrid w:val="0"/>
        <w:rPr>
          <w:rFonts w:ascii="宋体" w:hAnsi="宋体"/>
        </w:rPr>
      </w:pPr>
    </w:p>
    <w:p>
      <w:pPr>
        <w:adjustRightInd w:val="0"/>
        <w:snapToGrid w:val="0"/>
        <w:ind w:firstLine="420" w:firstLineChars="200"/>
        <w:rPr>
          <w:rFonts w:ascii="楷体" w:hAnsi="楷体" w:eastAsia="楷体"/>
        </w:rPr>
      </w:pPr>
      <w:r>
        <w:rPr>
          <w:rFonts w:hint="eastAsia" w:ascii="楷体" w:hAnsi="楷体" w:eastAsia="楷体"/>
        </w:rPr>
        <w:t>新增</w:t>
      </w:r>
      <w:r>
        <w:rPr>
          <w:rFonts w:ascii="楷体" w:hAnsi="楷体" w:eastAsia="楷体"/>
        </w:rPr>
        <w:t>4</w:t>
      </w:r>
      <w:r>
        <w:rPr>
          <w:rFonts w:hint="eastAsia" w:ascii="楷体" w:hAnsi="楷体" w:eastAsia="楷体"/>
        </w:rPr>
        <w:t>如下：</w:t>
      </w:r>
    </w:p>
    <w:p>
      <w:pPr>
        <w:adjustRightInd w:val="0"/>
        <w:snapToGrid w:val="0"/>
        <w:ind w:firstLine="411" w:firstLineChars="196"/>
        <w:rPr>
          <w:rFonts w:ascii="宋体" w:hAnsi="宋体"/>
          <w:b/>
          <w:color w:val="FF0000"/>
          <w:u w:val="single"/>
        </w:rPr>
      </w:pPr>
      <w:r>
        <w:rPr>
          <w:rFonts w:hint="eastAsia" w:ascii="宋体" w:hAnsi="宋体"/>
          <w:bCs/>
        </w:rPr>
        <w:t>“</w:t>
      </w:r>
      <w:r>
        <w:rPr>
          <w:rFonts w:hint="eastAsia" w:ascii="宋体" w:hAnsi="宋体"/>
          <w:b/>
          <w:color w:val="FF0000"/>
          <w:u w:val="single"/>
        </w:rPr>
        <w:t>无人非自航驳船</w:t>
      </w:r>
    </w:p>
    <w:p>
      <w:pPr>
        <w:adjustRightInd w:val="0"/>
        <w:snapToGrid w:val="0"/>
        <w:ind w:firstLine="420" w:firstLineChars="200"/>
        <w:rPr>
          <w:rFonts w:ascii="宋体" w:hAnsi="宋体"/>
        </w:rPr>
      </w:pPr>
      <w:r>
        <w:rPr>
          <w:rFonts w:ascii="Times New Roman" w:hAnsi="Times New Roman" w:cs="Times New Roman"/>
          <w:color w:val="FF0000"/>
          <w:u w:val="single"/>
        </w:rPr>
        <w:t>4 主管机关可通过签发无人非自航（UNSP）驳船国际防止空气污染免除证书，免除无人非自航（UNSP）驳船</w:t>
      </w:r>
      <w:r>
        <w:rPr>
          <w:rFonts w:ascii="Times New Roman" w:hAnsi="Times New Roman" w:cs="Times New Roman"/>
          <w:color w:val="FF0000"/>
          <w:u w:val="single"/>
          <w:vertAlign w:val="superscript"/>
        </w:rPr>
        <w:footnoteReference w:id="10"/>
      </w:r>
      <w:r>
        <w:rPr>
          <w:rFonts w:ascii="Times New Roman" w:hAnsi="Times New Roman" w:cs="Times New Roman"/>
          <w:color w:val="FF0000"/>
          <w:u w:val="single"/>
        </w:rPr>
        <w:t>满足本附则第5.1条和第6.1条的要求，免除时间不超过五年，且前提是已对该无人非自航驳船进行检验以确认其符合本附则第2.1.32.1至第2.1.32.3条规定的条</w:t>
      </w:r>
      <w:r>
        <w:rPr>
          <w:rFonts w:hint="eastAsia" w:ascii="宋体" w:hAnsi="宋体"/>
          <w:color w:val="FF0000"/>
          <w:u w:val="single"/>
        </w:rPr>
        <w:t>件。</w:t>
      </w:r>
      <w:r>
        <w:rPr>
          <w:rFonts w:hint="eastAsia" w:ascii="宋体" w:hAnsi="宋体"/>
        </w:rPr>
        <w:t>”</w:t>
      </w:r>
    </w:p>
    <w:p>
      <w:pPr>
        <w:adjustRightInd w:val="0"/>
        <w:snapToGrid w:val="0"/>
        <w:ind w:firstLine="420" w:firstLineChars="200"/>
        <w:rPr>
          <w:rFonts w:ascii="楷体" w:hAnsi="楷体" w:eastAsia="楷体" w:cs="楷体"/>
          <w:snapToGrid w:val="0"/>
          <w:color w:val="0000FF"/>
          <w:kern w:val="0"/>
          <w:szCs w:val="21"/>
        </w:rPr>
      </w:pPr>
    </w:p>
    <w:p>
      <w:pPr>
        <w:adjustRightInd w:val="0"/>
        <w:snapToGrid w:val="0"/>
        <w:ind w:firstLine="420" w:firstLineChars="200"/>
        <w:rPr>
          <w:rFonts w:ascii="楷体" w:hAnsi="楷体" w:eastAsia="楷体" w:cs="楷体"/>
          <w:snapToGrid w:val="0"/>
          <w:color w:val="0000FF"/>
          <w:kern w:val="0"/>
          <w:szCs w:val="21"/>
        </w:rPr>
      </w:pPr>
    </w:p>
    <w:p>
      <w:pPr>
        <w:pStyle w:val="10"/>
        <w:jc w:val="center"/>
        <w:outlineLvl w:val="3"/>
        <w:rPr>
          <w:rFonts w:ascii="Times New Roman" w:hAnsi="Times New Roman" w:eastAsia="黑体"/>
          <w:bCs/>
        </w:rPr>
      </w:pPr>
      <w:bookmarkStart w:id="70" w:name="_Toc30644"/>
      <w:r>
        <w:rPr>
          <w:rFonts w:hint="eastAsia" w:ascii="Times New Roman" w:hAnsi="Times New Roman" w:eastAsia="黑体"/>
          <w:bCs/>
        </w:rPr>
        <w:t>第4条  等    效</w:t>
      </w:r>
      <w:bookmarkEnd w:id="70"/>
    </w:p>
    <w:p>
      <w:pPr>
        <w:adjustRightInd w:val="0"/>
        <w:snapToGrid w:val="0"/>
        <w:ind w:firstLine="480" w:firstLineChars="200"/>
        <w:rPr>
          <w:rFonts w:ascii="宋体" w:hAnsi="宋体"/>
          <w:sz w:val="24"/>
        </w:rPr>
      </w:pPr>
    </w:p>
    <w:p>
      <w:pPr>
        <w:adjustRightInd w:val="0"/>
        <w:snapToGrid w:val="0"/>
        <w:ind w:firstLine="420" w:firstLineChars="200"/>
        <w:rPr>
          <w:rFonts w:ascii="楷体" w:hAnsi="楷体" w:eastAsia="楷体"/>
        </w:rPr>
      </w:pPr>
      <w:r>
        <w:rPr>
          <w:rFonts w:hint="eastAsia" w:ascii="楷体" w:hAnsi="楷体" w:eastAsia="楷体"/>
        </w:rPr>
        <w:t>原</w:t>
      </w:r>
      <w:r>
        <w:rPr>
          <w:rFonts w:ascii="楷体" w:hAnsi="楷体" w:eastAsia="楷体"/>
        </w:rPr>
        <w:t>3</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3  缔约</w:t>
      </w:r>
      <w:r>
        <w:rPr>
          <w:rFonts w:hint="eastAsia" w:ascii="宋体" w:hAnsi="宋体"/>
        </w:rPr>
        <w:t>国主管机关应考虑到国际海事组织针对本条等效规定制定的任何相关指南</w:t>
      </w:r>
      <w:r>
        <w:rPr>
          <w:rFonts w:hint="eastAsia" w:ascii="宋体" w:hAnsi="宋体"/>
          <w:strike/>
          <w:vertAlign w:val="superscript"/>
        </w:rPr>
        <w:t>①</w:t>
      </w:r>
      <w:r>
        <w:rPr>
          <w:rFonts w:ascii="Times New Roman" w:hAnsi="Times New Roman" w:eastAsia="黑体"/>
          <w:bCs/>
          <w:color w:val="FF0000"/>
          <w:szCs w:val="21"/>
          <w:u w:val="single"/>
          <w:vertAlign w:val="superscript"/>
        </w:rPr>
        <w:footnoteReference w:id="11"/>
      </w:r>
      <w:r>
        <w:rPr>
          <w:rFonts w:hint="eastAsia" w:ascii="宋体" w:hAnsi="宋体"/>
        </w:rPr>
        <w:t>。”</w:t>
      </w:r>
    </w:p>
    <w:p>
      <w:pPr>
        <w:adjustRightInd w:val="0"/>
        <w:snapToGrid w:val="0"/>
        <w:rPr>
          <w:rFonts w:ascii="楷体" w:hAnsi="楷体" w:eastAsia="楷体" w:cs="楷体"/>
          <w:snapToGrid w:val="0"/>
          <w:color w:val="0000FF"/>
          <w:kern w:val="0"/>
          <w:szCs w:val="21"/>
        </w:rPr>
      </w:pPr>
    </w:p>
    <w:p>
      <w:pPr>
        <w:adjustRightInd w:val="0"/>
        <w:snapToGrid w:val="0"/>
        <w:rPr>
          <w:rFonts w:ascii="楷体" w:hAnsi="楷体" w:eastAsia="楷体" w:cs="楷体"/>
          <w:snapToGrid w:val="0"/>
          <w:color w:val="0000FF"/>
          <w:kern w:val="0"/>
          <w:szCs w:val="21"/>
        </w:rPr>
      </w:pPr>
    </w:p>
    <w:p>
      <w:pPr>
        <w:pStyle w:val="36"/>
        <w:rPr>
          <w:rFonts w:hint="default" w:ascii="Times New Roman" w:hAnsi="Times New Roman"/>
        </w:rPr>
      </w:pPr>
      <w:bookmarkStart w:id="71" w:name="_Toc28346"/>
      <w:r>
        <w:rPr>
          <w:rFonts w:ascii="Times New Roman" w:hAnsi="Times New Roman"/>
        </w:rPr>
        <w:t>II  检验、发证和控制手段</w:t>
      </w:r>
      <w:bookmarkEnd w:id="71"/>
    </w:p>
    <w:p>
      <w:pPr>
        <w:adjustRightInd w:val="0"/>
        <w:snapToGrid w:val="0"/>
        <w:spacing w:line="360" w:lineRule="auto"/>
        <w:jc w:val="center"/>
        <w:rPr>
          <w:rFonts w:ascii="宋体" w:hAnsi="宋体"/>
          <w:b/>
          <w:sz w:val="24"/>
        </w:rPr>
      </w:pPr>
    </w:p>
    <w:p>
      <w:pPr>
        <w:pStyle w:val="10"/>
        <w:jc w:val="center"/>
        <w:outlineLvl w:val="3"/>
        <w:rPr>
          <w:rFonts w:ascii="Times New Roman" w:hAnsi="Times New Roman" w:eastAsia="黑体"/>
          <w:bCs/>
        </w:rPr>
      </w:pPr>
      <w:bookmarkStart w:id="72" w:name="_Toc22547"/>
      <w:r>
        <w:rPr>
          <w:rFonts w:hint="eastAsia" w:ascii="Times New Roman" w:hAnsi="Times New Roman" w:eastAsia="黑体"/>
          <w:bCs/>
        </w:rPr>
        <w:t>第</w:t>
      </w:r>
      <w:r>
        <w:rPr>
          <w:rFonts w:hint="eastAsia" w:ascii="Times New Roman" w:hAnsi="Times New Roman" w:eastAsia="黑体"/>
          <w:b/>
        </w:rPr>
        <w:t>5</w:t>
      </w:r>
      <w:r>
        <w:rPr>
          <w:rFonts w:hint="eastAsia" w:ascii="Times New Roman" w:hAnsi="Times New Roman" w:eastAsia="黑体"/>
          <w:bCs/>
        </w:rPr>
        <w:t>条  检    验</w:t>
      </w:r>
      <w:bookmarkEnd w:id="72"/>
    </w:p>
    <w:p>
      <w:pPr>
        <w:adjustRightInd w:val="0"/>
        <w:snapToGrid w:val="0"/>
        <w:ind w:firstLine="480" w:firstLineChars="200"/>
        <w:rPr>
          <w:rFonts w:ascii="宋体" w:hAnsi="宋体"/>
          <w:sz w:val="24"/>
        </w:rPr>
      </w:pPr>
    </w:p>
    <w:p>
      <w:pPr>
        <w:adjustRightInd w:val="0"/>
        <w:snapToGrid w:val="0"/>
        <w:ind w:firstLine="420" w:firstLineChars="200"/>
        <w:rPr>
          <w:rFonts w:ascii="楷体" w:hAnsi="楷体" w:eastAsia="楷体"/>
        </w:rPr>
      </w:pPr>
      <w:r>
        <w:rPr>
          <w:rFonts w:hint="eastAsia" w:ascii="楷体" w:hAnsi="楷体" w:eastAsia="楷体"/>
        </w:rPr>
        <w:t>原4改为：</w:t>
      </w:r>
    </w:p>
    <w:p>
      <w:pPr>
        <w:adjustRightInd w:val="0"/>
        <w:snapToGrid w:val="0"/>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4 适用本附则第IV节的船舶还应进行下列规定的检验，并考虑国际海事组织通过的</w:t>
      </w:r>
      <w:r>
        <w:rPr>
          <w:rFonts w:ascii="Times New Roman" w:hAnsi="Times New Roman" w:eastAsia="宋体" w:cs="Times New Roman"/>
          <w:strike/>
          <w:color w:val="FF0000"/>
          <w:szCs w:val="21"/>
        </w:rPr>
        <w:t>导则</w:t>
      </w:r>
      <w:r>
        <w:rPr>
          <w:rFonts w:ascii="Times New Roman" w:hAnsi="Times New Roman" w:eastAsia="宋体" w:cs="Times New Roman"/>
          <w:color w:val="FF0000"/>
          <w:szCs w:val="21"/>
          <w:u w:val="single"/>
        </w:rPr>
        <w:t>指南</w:t>
      </w:r>
      <w:r>
        <w:rPr>
          <w:rFonts w:ascii="Times New Roman" w:hAnsi="Times New Roman" w:eastAsia="宋体" w:cs="Times New Roman"/>
          <w:szCs w:val="21"/>
          <w:vertAlign w:val="superscript"/>
        </w:rPr>
        <w:footnoteReference w:id="12"/>
      </w:r>
      <w:r>
        <w:rPr>
          <w:rFonts w:ascii="Times New Roman" w:hAnsi="Times New Roman" w:eastAsia="宋体" w:cs="Times New Roman"/>
          <w:szCs w:val="21"/>
        </w:rPr>
        <w:t>：</w:t>
      </w:r>
    </w:p>
    <w:p>
      <w:pPr>
        <w:adjustRightInd w:val="0"/>
        <w:snapToGrid w:val="0"/>
        <w:ind w:left="1133" w:leftChars="384" w:hanging="327" w:hangingChars="156"/>
        <w:rPr>
          <w:rFonts w:ascii="Times New Roman" w:hAnsi="Times New Roman" w:eastAsia="宋体" w:cs="Times New Roman"/>
          <w:szCs w:val="21"/>
        </w:rPr>
      </w:pPr>
      <w:r>
        <w:rPr>
          <w:rFonts w:ascii="Times New Roman" w:hAnsi="Times New Roman" w:eastAsia="宋体" w:cs="Times New Roman"/>
          <w:szCs w:val="21"/>
        </w:rPr>
        <w:t>.1 初次检验，在新船投入营运前和签发国际船舶能效证书之前进行。检验应验证船舶的达到的能效设计指数（Attained EEDI）符合本附则第IV节的要求，并且船上保存</w:t>
      </w:r>
      <w:r>
        <w:rPr>
          <w:rFonts w:hint="eastAsia" w:ascii="Times New Roman" w:hAnsi="Times New Roman" w:eastAsia="宋体" w:cs="Times New Roman"/>
          <w:color w:val="FF0000"/>
          <w:szCs w:val="21"/>
          <w:u w:val="single"/>
        </w:rPr>
        <w:t>本节</w:t>
      </w:r>
      <w:r>
        <w:rPr>
          <w:rFonts w:ascii="Times New Roman" w:hAnsi="Times New Roman" w:eastAsia="宋体" w:cs="Times New Roman"/>
          <w:szCs w:val="21"/>
        </w:rPr>
        <w:t>第</w:t>
      </w:r>
      <w:r>
        <w:rPr>
          <w:rFonts w:ascii="Times New Roman" w:hAnsi="Times New Roman" w:eastAsia="宋体" w:cs="Times New Roman"/>
          <w:strike/>
          <w:color w:val="FF0000"/>
          <w:szCs w:val="21"/>
        </w:rPr>
        <w:t>22</w:t>
      </w:r>
      <w:r>
        <w:rPr>
          <w:rFonts w:ascii="Times New Roman" w:hAnsi="Times New Roman" w:eastAsia="宋体" w:cs="Times New Roman"/>
          <w:color w:val="FF0000"/>
          <w:szCs w:val="21"/>
        </w:rPr>
        <w:t>26</w:t>
      </w:r>
      <w:r>
        <w:rPr>
          <w:rFonts w:ascii="Times New Roman" w:hAnsi="Times New Roman" w:eastAsia="宋体" w:cs="Times New Roman"/>
          <w:szCs w:val="21"/>
        </w:rPr>
        <w:t>条要求的船舶能效管理计划（SEEMP）；</w:t>
      </w:r>
    </w:p>
    <w:p>
      <w:pPr>
        <w:adjustRightInd w:val="0"/>
        <w:snapToGrid w:val="0"/>
        <w:ind w:left="1133" w:leftChars="384" w:hanging="327" w:hangingChars="156"/>
        <w:rPr>
          <w:rFonts w:ascii="Times New Roman" w:hAnsi="Times New Roman" w:eastAsia="宋体" w:cs="Times New Roman"/>
          <w:szCs w:val="21"/>
        </w:rPr>
      </w:pPr>
      <w:r>
        <w:rPr>
          <w:rFonts w:ascii="Times New Roman" w:hAnsi="Times New Roman" w:eastAsia="宋体" w:cs="Times New Roman"/>
          <w:szCs w:val="21"/>
        </w:rPr>
        <w:t>.2 在适用本条的新船发生重大改建后，应根据情况进行的全面或部分检验。检验应确保必要时达到的能效设计指数（Attained EEDI）经重新计算并满足</w:t>
      </w:r>
      <w:r>
        <w:rPr>
          <w:rFonts w:hint="eastAsia" w:ascii="Times New Roman" w:hAnsi="Times New Roman" w:eastAsia="宋体" w:cs="Times New Roman"/>
          <w:color w:val="FF0000"/>
          <w:szCs w:val="21"/>
          <w:u w:val="single"/>
        </w:rPr>
        <w:t>本节</w:t>
      </w:r>
      <w:r>
        <w:rPr>
          <w:rFonts w:ascii="Times New Roman" w:hAnsi="Times New Roman" w:eastAsia="宋体" w:cs="Times New Roman"/>
          <w:szCs w:val="21"/>
        </w:rPr>
        <w:t>第</w:t>
      </w:r>
      <w:r>
        <w:rPr>
          <w:rFonts w:ascii="Times New Roman" w:hAnsi="Times New Roman" w:eastAsia="宋体" w:cs="Times New Roman"/>
          <w:strike/>
          <w:color w:val="FF0000"/>
          <w:szCs w:val="21"/>
        </w:rPr>
        <w:t>2</w:t>
      </w:r>
      <w:r>
        <w:rPr>
          <w:rFonts w:hint="eastAsia" w:ascii="Times New Roman" w:hAnsi="Times New Roman" w:eastAsia="宋体" w:cs="Times New Roman"/>
          <w:strike/>
          <w:color w:val="FF0000"/>
          <w:szCs w:val="21"/>
        </w:rPr>
        <w:t>1</w:t>
      </w:r>
      <w:r>
        <w:rPr>
          <w:rFonts w:ascii="Times New Roman" w:hAnsi="Times New Roman" w:eastAsia="宋体" w:cs="Times New Roman"/>
          <w:color w:val="FF0000"/>
          <w:szCs w:val="21"/>
        </w:rPr>
        <w:t>2</w:t>
      </w:r>
      <w:r>
        <w:rPr>
          <w:rFonts w:hint="eastAsia" w:ascii="Times New Roman" w:hAnsi="Times New Roman" w:eastAsia="宋体" w:cs="Times New Roman"/>
          <w:color w:val="FF0000"/>
          <w:szCs w:val="21"/>
        </w:rPr>
        <w:t>4</w:t>
      </w:r>
      <w:r>
        <w:rPr>
          <w:rFonts w:ascii="Times New Roman" w:hAnsi="Times New Roman" w:eastAsia="宋体" w:cs="Times New Roman"/>
          <w:szCs w:val="21"/>
        </w:rPr>
        <w:t>条的要求，此要求是采用按</w:t>
      </w:r>
      <w:r>
        <w:rPr>
          <w:rFonts w:hint="eastAsia" w:ascii="Times New Roman" w:hAnsi="Times New Roman" w:eastAsia="宋体" w:cs="Times New Roman"/>
          <w:color w:val="FF0000"/>
          <w:szCs w:val="21"/>
          <w:u w:val="single"/>
        </w:rPr>
        <w:t>本节</w:t>
      </w:r>
      <w:r>
        <w:rPr>
          <w:rFonts w:ascii="Times New Roman" w:hAnsi="Times New Roman" w:eastAsia="宋体" w:cs="Times New Roman"/>
          <w:szCs w:val="21"/>
        </w:rPr>
        <w:t>第</w:t>
      </w:r>
      <w:r>
        <w:rPr>
          <w:rFonts w:ascii="Times New Roman" w:hAnsi="Times New Roman" w:eastAsia="宋体" w:cs="Times New Roman"/>
          <w:strike/>
          <w:color w:val="FF0000"/>
          <w:szCs w:val="21"/>
        </w:rPr>
        <w:t>2.23</w:t>
      </w:r>
      <w:r>
        <w:rPr>
          <w:rFonts w:ascii="Times New Roman" w:hAnsi="Times New Roman" w:eastAsia="宋体" w:cs="Times New Roman"/>
          <w:color w:val="FF0000"/>
          <w:szCs w:val="21"/>
          <w:u w:val="single"/>
        </w:rPr>
        <w:t>2.2.</w:t>
      </w:r>
      <w:r>
        <w:rPr>
          <w:rFonts w:hint="eastAsia" w:ascii="Times New Roman" w:hAnsi="Times New Roman" w:eastAsia="宋体" w:cs="Times New Roman"/>
          <w:color w:val="FF0000"/>
          <w:szCs w:val="21"/>
          <w:u w:val="single"/>
        </w:rPr>
        <w:t>18</w:t>
      </w:r>
      <w:r>
        <w:rPr>
          <w:rFonts w:ascii="Times New Roman" w:hAnsi="Times New Roman" w:eastAsia="宋体" w:cs="Times New Roman"/>
          <w:szCs w:val="21"/>
        </w:rPr>
        <w:t>条确定原始船舶的签订合同日期或安放龙骨日期或交船日期所对应的那个阶段下的适用于改建船舶的船型和尺度的折减系数所确定的EEDI要求；</w:t>
      </w:r>
    </w:p>
    <w:p>
      <w:pPr>
        <w:adjustRightInd w:val="0"/>
        <w:snapToGrid w:val="0"/>
        <w:ind w:left="1133" w:leftChars="384" w:hanging="327" w:hangingChars="156"/>
        <w:rPr>
          <w:rFonts w:ascii="Times New Roman" w:hAnsi="Times New Roman" w:eastAsia="宋体" w:cs="Times New Roman"/>
          <w:szCs w:val="21"/>
        </w:rPr>
      </w:pPr>
      <w:r>
        <w:rPr>
          <w:rFonts w:ascii="Times New Roman" w:hAnsi="Times New Roman" w:eastAsia="宋体" w:cs="Times New Roman"/>
          <w:szCs w:val="21"/>
        </w:rPr>
        <w:t>.3 如新船或现有船舶的重大改建的范围如此之大而使主管机关将其视为新建船舶，主管机关应确定对达到的能效设计指数（Attained EEDI）进行初次检验的必要性。如确定必要，该检验应确保计算达到的能效设计指数（Attained EEDI）值</w:t>
      </w:r>
      <w:r>
        <w:rPr>
          <w:rFonts w:ascii="Times New Roman" w:hAnsi="Times New Roman" w:eastAsia="宋体" w:cs="Times New Roman"/>
          <w:strike/>
          <w:color w:val="FF0000"/>
          <w:szCs w:val="21"/>
          <w:shd w:val="pct10" w:color="auto" w:fill="FFFFFF"/>
        </w:rPr>
        <w:t>并</w:t>
      </w:r>
      <w:r>
        <w:rPr>
          <w:rFonts w:ascii="Times New Roman" w:hAnsi="Times New Roman" w:eastAsia="宋体" w:cs="Times New Roman"/>
          <w:szCs w:val="21"/>
        </w:rPr>
        <w:t>满足第</w:t>
      </w:r>
      <w:r>
        <w:rPr>
          <w:rFonts w:ascii="Times New Roman" w:hAnsi="Times New Roman" w:eastAsia="宋体" w:cs="Times New Roman"/>
          <w:strike/>
          <w:color w:val="FF0000"/>
          <w:szCs w:val="21"/>
        </w:rPr>
        <w:t>21</w:t>
      </w:r>
      <w:r>
        <w:rPr>
          <w:rFonts w:ascii="Times New Roman" w:hAnsi="Times New Roman" w:eastAsia="宋体" w:cs="Times New Roman"/>
          <w:color w:val="FF0000"/>
          <w:szCs w:val="21"/>
          <w:u w:val="single"/>
        </w:rPr>
        <w:t>24</w:t>
      </w:r>
      <w:r>
        <w:rPr>
          <w:rFonts w:ascii="Times New Roman" w:hAnsi="Times New Roman" w:eastAsia="宋体" w:cs="Times New Roman"/>
          <w:szCs w:val="21"/>
        </w:rPr>
        <w:t>条的要求，此要求是采用签订改建合同之日或如无合同情况下的改建开始之日所适用的对应于改建船舶的船型和尺度的折减系数所确定的EEDI要求。该检验还应验证船上保存第</w:t>
      </w:r>
      <w:r>
        <w:rPr>
          <w:rFonts w:ascii="Times New Roman" w:hAnsi="Times New Roman" w:eastAsia="宋体" w:cs="Times New Roman"/>
          <w:strike/>
          <w:color w:val="FF0000"/>
          <w:szCs w:val="21"/>
        </w:rPr>
        <w:t>22</w:t>
      </w:r>
      <w:r>
        <w:rPr>
          <w:rFonts w:ascii="Times New Roman" w:hAnsi="Times New Roman" w:eastAsia="宋体" w:cs="Times New Roman"/>
          <w:color w:val="FF0000"/>
          <w:szCs w:val="21"/>
          <w:u w:val="single"/>
        </w:rPr>
        <w:t>26</w:t>
      </w:r>
      <w:r>
        <w:rPr>
          <w:rFonts w:ascii="Times New Roman" w:hAnsi="Times New Roman" w:eastAsia="宋体" w:cs="Times New Roman"/>
          <w:szCs w:val="21"/>
        </w:rPr>
        <w:t>条要求的SEEMP，并且在重大改建影响数据收集方法和/或报告过程的情况下，对于第</w:t>
      </w:r>
      <w:r>
        <w:rPr>
          <w:rFonts w:ascii="Times New Roman" w:hAnsi="Times New Roman" w:eastAsia="宋体" w:cs="Times New Roman"/>
          <w:strike/>
          <w:color w:val="FF0000"/>
          <w:szCs w:val="21"/>
        </w:rPr>
        <w:t>22A</w:t>
      </w:r>
      <w:r>
        <w:rPr>
          <w:rFonts w:ascii="Times New Roman" w:hAnsi="Times New Roman" w:eastAsia="宋体" w:cs="Times New Roman"/>
          <w:color w:val="FF0000"/>
          <w:szCs w:val="21"/>
          <w:u w:val="single"/>
        </w:rPr>
        <w:t>27</w:t>
      </w:r>
      <w:r>
        <w:rPr>
          <w:rFonts w:ascii="Times New Roman" w:hAnsi="Times New Roman" w:eastAsia="宋体" w:cs="Times New Roman"/>
          <w:szCs w:val="21"/>
        </w:rPr>
        <w:t>条适用的船舶，验证SEEMP已予以适当修改来反映重大改建；</w:t>
      </w:r>
      <w:r>
        <w:rPr>
          <w:rFonts w:ascii="Times New Roman" w:hAnsi="Times New Roman" w:eastAsia="宋体" w:cs="Times New Roman"/>
          <w:strike/>
          <w:color w:val="FF0000"/>
          <w:szCs w:val="21"/>
        </w:rPr>
        <w:t>和</w:t>
      </w:r>
    </w:p>
    <w:p>
      <w:pPr>
        <w:adjustRightInd w:val="0"/>
        <w:snapToGrid w:val="0"/>
        <w:ind w:left="1133" w:leftChars="384" w:hanging="327" w:hangingChars="156"/>
        <w:rPr>
          <w:rFonts w:ascii="Times New Roman" w:hAnsi="Times New Roman" w:eastAsia="宋体" w:cs="Times New Roman"/>
          <w:szCs w:val="21"/>
        </w:rPr>
      </w:pPr>
      <w:r>
        <w:rPr>
          <w:rFonts w:ascii="Times New Roman" w:hAnsi="Times New Roman" w:eastAsia="宋体" w:cs="Times New Roman"/>
          <w:szCs w:val="21"/>
        </w:rPr>
        <w:t>.4 对现有船舶，对根据第</w:t>
      </w:r>
      <w:r>
        <w:rPr>
          <w:rFonts w:ascii="Times New Roman" w:hAnsi="Times New Roman" w:eastAsia="宋体" w:cs="Times New Roman"/>
          <w:strike/>
          <w:color w:val="FF0000"/>
          <w:szCs w:val="21"/>
        </w:rPr>
        <w:t>22</w:t>
      </w:r>
      <w:r>
        <w:rPr>
          <w:rFonts w:ascii="Times New Roman" w:hAnsi="Times New Roman" w:eastAsia="宋体" w:cs="Times New Roman"/>
          <w:color w:val="FF0000"/>
          <w:szCs w:val="21"/>
          <w:u w:val="single"/>
        </w:rPr>
        <w:t>26</w:t>
      </w:r>
      <w:r>
        <w:rPr>
          <w:rFonts w:ascii="Times New Roman" w:hAnsi="Times New Roman" w:eastAsia="宋体" w:cs="Times New Roman"/>
          <w:szCs w:val="21"/>
        </w:rPr>
        <w:t>条船上保存SEEMP要求的验证应在2013年1月1日或以后的由本条1所述的首次中间或换证检验时（取先者）进行；</w:t>
      </w:r>
      <w:r>
        <w:rPr>
          <w:rFonts w:ascii="Times New Roman" w:hAnsi="Times New Roman" w:eastAsia="宋体" w:cs="Times New Roman"/>
          <w:strike/>
          <w:color w:val="FF0000"/>
          <w:szCs w:val="21"/>
        </w:rPr>
        <w:t>和</w:t>
      </w:r>
    </w:p>
    <w:p>
      <w:pPr>
        <w:adjustRightInd w:val="0"/>
        <w:snapToGrid w:val="0"/>
        <w:ind w:left="1133" w:leftChars="384" w:hanging="327" w:hangingChars="156"/>
        <w:rPr>
          <w:rFonts w:ascii="Times New Roman" w:hAnsi="Times New Roman" w:eastAsia="宋体" w:cs="Times New Roman"/>
          <w:szCs w:val="21"/>
        </w:rPr>
      </w:pPr>
      <w:r>
        <w:rPr>
          <w:rFonts w:ascii="Times New Roman" w:hAnsi="Times New Roman" w:eastAsia="宋体" w:cs="Times New Roman"/>
          <w:szCs w:val="21"/>
        </w:rPr>
        <w:t>.5 主管机关应确保第</w:t>
      </w:r>
      <w:r>
        <w:rPr>
          <w:rFonts w:ascii="Times New Roman" w:hAnsi="Times New Roman" w:eastAsia="宋体" w:cs="Times New Roman"/>
          <w:strike/>
          <w:color w:val="FF0000"/>
          <w:szCs w:val="21"/>
        </w:rPr>
        <w:t>22A</w:t>
      </w:r>
      <w:r>
        <w:rPr>
          <w:rFonts w:ascii="Times New Roman" w:hAnsi="Times New Roman" w:eastAsia="宋体" w:cs="Times New Roman"/>
          <w:color w:val="FF0000"/>
          <w:szCs w:val="21"/>
          <w:u w:val="single"/>
        </w:rPr>
        <w:t>27</w:t>
      </w:r>
      <w:r>
        <w:rPr>
          <w:rFonts w:ascii="Times New Roman" w:hAnsi="Times New Roman" w:eastAsia="宋体" w:cs="Times New Roman"/>
          <w:szCs w:val="21"/>
        </w:rPr>
        <w:t>条适用的每艘船的SEEMP符合本附则的第</w:t>
      </w:r>
      <w:r>
        <w:rPr>
          <w:rFonts w:ascii="Times New Roman" w:hAnsi="Times New Roman" w:eastAsia="宋体" w:cs="Times New Roman"/>
          <w:strike/>
          <w:color w:val="FF0000"/>
          <w:szCs w:val="21"/>
        </w:rPr>
        <w:t>22.2</w:t>
      </w:r>
      <w:r>
        <w:rPr>
          <w:rFonts w:ascii="Times New Roman" w:hAnsi="Times New Roman" w:eastAsia="宋体" w:cs="Times New Roman"/>
          <w:color w:val="FF0000"/>
          <w:szCs w:val="21"/>
          <w:u w:val="single"/>
        </w:rPr>
        <w:t>26.2</w:t>
      </w:r>
      <w:r>
        <w:rPr>
          <w:rFonts w:ascii="Times New Roman" w:hAnsi="Times New Roman" w:eastAsia="宋体" w:cs="Times New Roman"/>
          <w:szCs w:val="21"/>
        </w:rPr>
        <w:t>条。本要求应在按本附则第</w:t>
      </w:r>
      <w:r>
        <w:rPr>
          <w:rFonts w:ascii="Times New Roman" w:hAnsi="Times New Roman" w:eastAsia="宋体" w:cs="Times New Roman"/>
          <w:strike/>
          <w:color w:val="FF0000"/>
          <w:szCs w:val="21"/>
        </w:rPr>
        <w:t>22A</w:t>
      </w:r>
      <w:r>
        <w:rPr>
          <w:rFonts w:ascii="Times New Roman" w:hAnsi="Times New Roman" w:eastAsia="宋体" w:cs="Times New Roman"/>
          <w:color w:val="FF0000"/>
          <w:szCs w:val="21"/>
          <w:u w:val="single"/>
        </w:rPr>
        <w:t>27</w:t>
      </w:r>
      <w:r>
        <w:rPr>
          <w:rFonts w:ascii="Times New Roman" w:hAnsi="Times New Roman" w:eastAsia="宋体" w:cs="Times New Roman"/>
          <w:szCs w:val="21"/>
        </w:rPr>
        <w:t>条收集数据前完成，以确保在船舶的第一个报告周期开始前方法和程序已就绪。应向船舶提供符合确认书并保存在船上</w:t>
      </w:r>
      <w:r>
        <w:rPr>
          <w:rFonts w:ascii="Times New Roman" w:hAnsi="Times New Roman" w:eastAsia="宋体" w:cs="Times New Roman"/>
          <w:strike/>
          <w:color w:val="FF0000"/>
          <w:szCs w:val="21"/>
        </w:rPr>
        <w:t>。</w:t>
      </w:r>
      <w:r>
        <w:rPr>
          <w:rFonts w:hint="eastAsia" w:ascii="Times New Roman" w:hAnsi="Times New Roman" w:eastAsia="宋体" w:cs="Times New Roman"/>
          <w:color w:val="FF0000"/>
          <w:szCs w:val="21"/>
          <w:u w:val="single"/>
        </w:rPr>
        <w:t>；</w:t>
      </w:r>
    </w:p>
    <w:p>
      <w:pPr>
        <w:adjustRightInd w:val="0"/>
        <w:snapToGrid w:val="0"/>
        <w:ind w:left="1133" w:leftChars="384" w:hanging="327" w:hangingChars="156"/>
        <w:rPr>
          <w:rFonts w:ascii="Times New Roman" w:hAnsi="Times New Roman" w:eastAsia="宋体" w:cs="Times New Roman"/>
          <w:color w:val="FF0000"/>
          <w:szCs w:val="21"/>
          <w:u w:val="single"/>
        </w:rPr>
      </w:pPr>
      <w:r>
        <w:rPr>
          <w:rFonts w:ascii="Times New Roman" w:hAnsi="Times New Roman" w:eastAsia="宋体" w:cs="Times New Roman"/>
          <w:color w:val="FF0000"/>
          <w:szCs w:val="21"/>
          <w:u w:val="single"/>
        </w:rPr>
        <w:t>.6 主管机关应确保第28条适用的每艘船舶的SEEMP符合本附则的第26.3.1条。本要求应在2023年1月1日以前完成。应向船舶提供符合确认</w:t>
      </w:r>
      <w:r>
        <w:rPr>
          <w:rFonts w:hint="eastAsia" w:ascii="Times New Roman" w:hAnsi="Times New Roman" w:eastAsia="宋体" w:cs="Times New Roman"/>
          <w:color w:val="FF0000"/>
          <w:szCs w:val="21"/>
          <w:u w:val="single"/>
        </w:rPr>
        <w:t>书</w:t>
      </w:r>
      <w:r>
        <w:rPr>
          <w:rFonts w:ascii="Times New Roman" w:hAnsi="Times New Roman" w:eastAsia="宋体" w:cs="Times New Roman"/>
          <w:color w:val="FF0000"/>
          <w:szCs w:val="21"/>
          <w:u w:val="single"/>
        </w:rPr>
        <w:t>并保存在船上</w:t>
      </w:r>
      <w:r>
        <w:rPr>
          <w:rFonts w:hint="eastAsia" w:ascii="Times New Roman" w:hAnsi="Times New Roman" w:eastAsia="宋体" w:cs="Times New Roman"/>
          <w:color w:val="FF0000"/>
          <w:szCs w:val="21"/>
          <w:u w:val="single"/>
        </w:rPr>
        <w:t>；</w:t>
      </w:r>
    </w:p>
    <w:p>
      <w:pPr>
        <w:adjustRightInd w:val="0"/>
        <w:snapToGrid w:val="0"/>
        <w:ind w:left="1133" w:leftChars="384" w:hanging="327" w:hangingChars="156"/>
        <w:rPr>
          <w:rFonts w:ascii="Times New Roman" w:hAnsi="Times New Roman" w:eastAsia="宋体" w:cs="Times New Roman"/>
          <w:color w:val="FF0000"/>
          <w:szCs w:val="21"/>
          <w:u w:val="single"/>
        </w:rPr>
      </w:pPr>
      <w:r>
        <w:rPr>
          <w:rFonts w:ascii="Times New Roman" w:hAnsi="Times New Roman" w:eastAsia="宋体" w:cs="Times New Roman"/>
          <w:color w:val="FF0000"/>
          <w:szCs w:val="21"/>
          <w:u w:val="single"/>
        </w:rPr>
        <w:t>.7 对船舶Attained EEXI符合本附则第23和25条要求的验证应在2023年1月1日或以后的本条1所述的首次年度、中间或换证检验或本条4.1和4.3所述的初次检验时（取先者）进行；和</w:t>
      </w:r>
    </w:p>
    <w:p>
      <w:pPr>
        <w:adjustRightInd w:val="0"/>
        <w:snapToGrid w:val="0"/>
        <w:ind w:left="1133" w:leftChars="384" w:hanging="327" w:hangingChars="156"/>
        <w:rPr>
          <w:rFonts w:ascii="Times New Roman" w:hAnsi="Times New Roman" w:eastAsia="宋体" w:cs="Times New Roman"/>
          <w:color w:val="FF0000"/>
          <w:szCs w:val="21"/>
          <w:u w:val="single"/>
        </w:rPr>
      </w:pPr>
      <w:r>
        <w:rPr>
          <w:rFonts w:ascii="Times New Roman" w:hAnsi="Times New Roman" w:eastAsia="宋体" w:cs="Times New Roman"/>
          <w:color w:val="FF0000"/>
          <w:szCs w:val="21"/>
          <w:u w:val="single"/>
        </w:rPr>
        <w:t>.8 尽管有本条4.7的规定，在适用本附则第23条的船舶发生重大改建后，应根据情况进行的全面或部分检验。检验应确保必要时Attained EEXI经重新计算并满足本附则第25条的要求。</w:t>
      </w:r>
      <w:r>
        <w:rPr>
          <w:rFonts w:hint="eastAsia" w:ascii="Times New Roman" w:hAnsi="Times New Roman" w:eastAsia="宋体" w:cs="Times New Roman"/>
          <w:szCs w:val="21"/>
        </w:rPr>
        <w:t>”</w:t>
      </w:r>
    </w:p>
    <w:p>
      <w:pPr>
        <w:adjustRightInd w:val="0"/>
        <w:snapToGrid w:val="0"/>
        <w:ind w:left="1134" w:leftChars="400" w:hanging="294" w:hangingChars="140"/>
        <w:rPr>
          <w:rFonts w:ascii="宋体" w:hAnsi="宋体"/>
          <w:color w:val="FF0000"/>
          <w:szCs w:val="21"/>
          <w:u w:val="single"/>
        </w:rPr>
      </w:pPr>
    </w:p>
    <w:p>
      <w:pPr>
        <w:pStyle w:val="10"/>
        <w:adjustRightInd w:val="0"/>
        <w:snapToGrid w:val="0"/>
        <w:jc w:val="center"/>
        <w:outlineLvl w:val="3"/>
        <w:rPr>
          <w:rFonts w:ascii="Times New Roman" w:hAnsi="Times New Roman" w:eastAsia="黑体"/>
          <w:bCs/>
        </w:rPr>
      </w:pPr>
      <w:bookmarkStart w:id="73" w:name="_Toc32761"/>
      <w:r>
        <w:rPr>
          <w:rFonts w:hint="eastAsia" w:ascii="Times New Roman" w:hAnsi="Times New Roman" w:eastAsia="黑体"/>
          <w:bCs/>
        </w:rPr>
        <w:t>第6条 证书和关于燃油消耗报告的符合声明的签发或签署</w:t>
      </w:r>
      <w:bookmarkEnd w:id="73"/>
    </w:p>
    <w:p>
      <w:pPr>
        <w:adjustRightInd w:val="0"/>
        <w:snapToGrid w:val="0"/>
        <w:ind w:firstLine="420" w:firstLineChars="200"/>
        <w:jc w:val="center"/>
        <w:rPr>
          <w:rFonts w:ascii="宋体" w:hAnsi="宋体"/>
          <w:szCs w:val="21"/>
        </w:rPr>
      </w:pPr>
    </w:p>
    <w:p>
      <w:pPr>
        <w:adjustRightInd w:val="0"/>
        <w:snapToGrid w:val="0"/>
        <w:ind w:firstLine="420" w:firstLineChars="200"/>
        <w:rPr>
          <w:rFonts w:ascii="楷体" w:hAnsi="楷体" w:eastAsia="楷体"/>
        </w:rPr>
      </w:pPr>
      <w:r>
        <w:rPr>
          <w:rFonts w:ascii="楷体" w:hAnsi="楷体" w:eastAsia="楷体"/>
        </w:rPr>
        <w:t>原3</w:t>
      </w:r>
      <w:r>
        <w:rPr>
          <w:rFonts w:hint="eastAsia" w:ascii="楷体" w:hAnsi="楷体" w:eastAsia="楷体"/>
        </w:rPr>
        <w:t>改为：</w:t>
      </w:r>
    </w:p>
    <w:p>
      <w:pPr>
        <w:adjustRightInd w:val="0"/>
        <w:snapToGrid w:val="0"/>
        <w:ind w:firstLine="420"/>
        <w:rPr>
          <w:rFonts w:ascii="宋体" w:hAnsi="宋体"/>
        </w:rPr>
      </w:pPr>
      <w:r>
        <w:rPr>
          <w:rFonts w:hint="eastAsia" w:ascii="宋体" w:hAnsi="宋体"/>
        </w:rPr>
        <w:t>“</w:t>
      </w:r>
      <w:r>
        <w:rPr>
          <w:rFonts w:ascii="Times New Roman" w:hAnsi="Times New Roman" w:cs="Times New Roman"/>
        </w:rPr>
        <w:t>3  该证书应由主管机关或经其正式授权</w:t>
      </w:r>
      <w:r>
        <w:rPr>
          <w:rFonts w:hint="eastAsia" w:ascii="宋体" w:hAnsi="宋体" w:eastAsia="宋体" w:cs="宋体"/>
          <w:color w:val="FF0000"/>
          <w:sz w:val="18"/>
          <w:szCs w:val="18"/>
          <w:u w:val="single"/>
          <w:vertAlign w:val="superscript"/>
        </w:rPr>
        <w:footnoteReference w:id="13"/>
      </w:r>
      <w:r>
        <w:rPr>
          <w:rFonts w:ascii="Times New Roman" w:hAnsi="Times New Roman" w:cs="Times New Roman"/>
        </w:rPr>
        <w:t>的任何个人或组织签发或签署。在任何情况下，主管机关对证书</w:t>
      </w:r>
      <w:r>
        <w:rPr>
          <w:rFonts w:hint="eastAsia" w:ascii="宋体" w:hAnsi="宋体"/>
        </w:rPr>
        <w:t>负有全部责任。”</w:t>
      </w:r>
    </w:p>
    <w:p>
      <w:pPr>
        <w:adjustRightInd w:val="0"/>
        <w:snapToGrid w:val="0"/>
        <w:ind w:firstLine="420"/>
        <w:rPr>
          <w:rFonts w:ascii="宋体" w:hAnsi="宋体"/>
        </w:rPr>
      </w:pPr>
    </w:p>
    <w:p>
      <w:pPr>
        <w:adjustRightInd w:val="0"/>
        <w:snapToGrid w:val="0"/>
        <w:ind w:firstLine="420" w:firstLineChars="200"/>
        <w:rPr>
          <w:rFonts w:ascii="楷体" w:hAnsi="楷体" w:eastAsia="楷体"/>
        </w:rPr>
      </w:pPr>
      <w:r>
        <w:rPr>
          <w:rFonts w:hint="eastAsia" w:ascii="楷体" w:hAnsi="楷体" w:eastAsia="楷体"/>
        </w:rPr>
        <w:t>删除“符合声明——燃油消耗报告”，“</w:t>
      </w:r>
      <w:r>
        <w:rPr>
          <w:rFonts w:ascii="楷体" w:hAnsi="楷体" w:eastAsia="楷体"/>
        </w:rPr>
        <w:t>6，7</w:t>
      </w:r>
      <w:r>
        <w:rPr>
          <w:rFonts w:hint="eastAsia" w:ascii="楷体" w:hAnsi="楷体" w:eastAsia="楷体"/>
        </w:rPr>
        <w:t>”。</w:t>
      </w:r>
    </w:p>
    <w:p>
      <w:pPr>
        <w:adjustRightInd w:val="0"/>
        <w:snapToGrid w:val="0"/>
        <w:ind w:firstLine="420" w:firstLineChars="200"/>
        <w:rPr>
          <w:rFonts w:ascii="楷体" w:hAnsi="楷体" w:eastAsia="楷体"/>
        </w:rPr>
      </w:pPr>
    </w:p>
    <w:p>
      <w:pPr>
        <w:adjustRightInd w:val="0"/>
        <w:snapToGrid w:val="0"/>
        <w:ind w:firstLine="420" w:firstLineChars="200"/>
        <w:rPr>
          <w:rFonts w:ascii="Times New Roman" w:hAnsi="Times New Roman" w:eastAsia="宋体" w:cs="Times New Roman"/>
          <w:szCs w:val="21"/>
        </w:rPr>
      </w:pPr>
      <w:r>
        <w:rPr>
          <w:rFonts w:hint="eastAsia" w:ascii="楷体" w:hAnsi="楷体" w:eastAsia="楷体"/>
        </w:rPr>
        <w:t>新增</w:t>
      </w:r>
      <w:r>
        <w:rPr>
          <w:rFonts w:hint="eastAsia" w:ascii="Times New Roman" w:hAnsi="Times New Roman" w:eastAsia="宋体" w:cs="Times New Roman"/>
          <w:szCs w:val="21"/>
        </w:rPr>
        <w:t>6</w:t>
      </w:r>
      <w:r>
        <w:rPr>
          <w:rFonts w:ascii="Times New Roman" w:hAnsi="Times New Roman" w:eastAsia="宋体" w:cs="Times New Roman"/>
          <w:szCs w:val="21"/>
        </w:rPr>
        <w:t>~</w:t>
      </w:r>
      <w:r>
        <w:rPr>
          <w:rFonts w:hint="eastAsia" w:ascii="Times New Roman" w:hAnsi="Times New Roman" w:eastAsia="宋体" w:cs="Times New Roman"/>
          <w:szCs w:val="21"/>
        </w:rPr>
        <w:t>8</w:t>
      </w:r>
      <w:r>
        <w:rPr>
          <w:rFonts w:hint="eastAsia" w:ascii="楷体" w:hAnsi="楷体" w:eastAsia="楷体"/>
        </w:rPr>
        <w:t>如下：</w:t>
      </w:r>
    </w:p>
    <w:p>
      <w:pPr>
        <w:adjustRightInd w:val="0"/>
        <w:snapToGrid w:val="0"/>
        <w:ind w:firstLine="420" w:firstLineChars="200"/>
        <w:rPr>
          <w:rFonts w:ascii="宋体" w:hAnsi="宋体"/>
          <w:b/>
          <w:color w:val="FF0000"/>
          <w:szCs w:val="21"/>
          <w:u w:val="single"/>
        </w:rPr>
      </w:pPr>
      <w:r>
        <w:rPr>
          <w:rFonts w:hint="eastAsia" w:ascii="宋体" w:hAnsi="宋体"/>
          <w:bCs/>
          <w:szCs w:val="21"/>
        </w:rPr>
        <w:t>“</w:t>
      </w:r>
      <w:r>
        <w:rPr>
          <w:rFonts w:hint="eastAsia" w:ascii="宋体" w:hAnsi="宋体"/>
          <w:b/>
          <w:color w:val="FF0000"/>
          <w:szCs w:val="21"/>
          <w:u w:val="single"/>
        </w:rPr>
        <w:t>关于燃油消耗报告和营运碳强度评级的符合声明</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6  收到按本附则第27.3条报告的数据和按本附则第28.2条规定的达到的年度营运CII后，主管机关或经其正式授权的任何组织应：</w:t>
      </w:r>
    </w:p>
    <w:p>
      <w:pPr>
        <w:adjustRightInd w:val="0"/>
        <w:snapToGrid w:val="0"/>
        <w:ind w:left="1255" w:leftChars="304" w:hanging="617" w:hangingChars="294"/>
        <w:rPr>
          <w:rFonts w:ascii="Times New Roman" w:hAnsi="Times New Roman" w:cs="Times New Roman"/>
          <w:szCs w:val="21"/>
        </w:rPr>
      </w:pPr>
      <w:r>
        <w:rPr>
          <w:rFonts w:ascii="Times New Roman" w:hAnsi="Times New Roman" w:cs="Times New Roman"/>
          <w:szCs w:val="21"/>
        </w:rPr>
        <w:t>.1  确定数据是否已按本附则第27条报告；</w:t>
      </w:r>
    </w:p>
    <w:p>
      <w:pPr>
        <w:adjustRightInd w:val="0"/>
        <w:snapToGrid w:val="0"/>
        <w:ind w:left="1255" w:leftChars="304" w:hanging="617" w:hangingChars="294"/>
        <w:rPr>
          <w:rFonts w:ascii="Times New Roman" w:hAnsi="Times New Roman" w:cs="Times New Roman"/>
          <w:szCs w:val="21"/>
        </w:rPr>
      </w:pPr>
      <w:r>
        <w:rPr>
          <w:rFonts w:ascii="Times New Roman" w:hAnsi="Times New Roman" w:cs="Times New Roman"/>
          <w:szCs w:val="21"/>
        </w:rPr>
        <w:t>.2  验证达到的年度营运CII是基于按本附则第27条提交的数据报告的；</w:t>
      </w:r>
    </w:p>
    <w:p>
      <w:pPr>
        <w:adjustRightInd w:val="0"/>
        <w:snapToGrid w:val="0"/>
        <w:ind w:left="1255" w:leftChars="304" w:hanging="617" w:hangingChars="294"/>
        <w:rPr>
          <w:rFonts w:ascii="Times New Roman" w:hAnsi="Times New Roman" w:cs="Times New Roman"/>
          <w:szCs w:val="21"/>
        </w:rPr>
      </w:pPr>
      <w:r>
        <w:rPr>
          <w:rFonts w:ascii="Times New Roman" w:hAnsi="Times New Roman" w:cs="Times New Roman"/>
          <w:szCs w:val="21"/>
        </w:rPr>
        <w:t>.3  基于所验证的年度营运CII，按本附则第28.6条确定船舶的营运碳强度评级；和</w:t>
      </w:r>
    </w:p>
    <w:p>
      <w:pPr>
        <w:adjustRightInd w:val="0"/>
        <w:snapToGrid w:val="0"/>
        <w:ind w:left="1039" w:leftChars="301" w:hanging="407" w:hangingChars="194"/>
        <w:rPr>
          <w:rFonts w:ascii="Times New Roman" w:hAnsi="Times New Roman" w:cs="Times New Roman"/>
          <w:szCs w:val="21"/>
        </w:rPr>
      </w:pPr>
      <w:r>
        <w:rPr>
          <w:rFonts w:ascii="Times New Roman" w:hAnsi="Times New Roman" w:cs="Times New Roman"/>
          <w:szCs w:val="21"/>
        </w:rPr>
        <w:t>.4  在按本附则第6.6.1至6.6.3条确定和验证后，不晚于日历年开始的5个月向船舶签发关于燃油消耗报告和营运碳强度评级的符合声明。在任何情况下，主管机关对符合声明承担全部责任。</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7  收到按本附则第27.4、27.5或27.6条报告的数据后，主管机关或经其正式授权的任何组织</w:t>
      </w:r>
      <w:r>
        <w:rPr>
          <w:rFonts w:ascii="Times New Roman" w:hAnsi="Times New Roman" w:cs="Times New Roman"/>
          <w:szCs w:val="21"/>
          <w:vertAlign w:val="superscript"/>
        </w:rPr>
        <w:footnoteReference w:id="14"/>
      </w:r>
      <w:r>
        <w:rPr>
          <w:rFonts w:ascii="Times New Roman" w:hAnsi="Times New Roman" w:cs="Times New Roman"/>
          <w:szCs w:val="21"/>
        </w:rPr>
        <w:t>应确定数据是否已按本附则第27条报告，如是，向船舶签发符合声明。在任何情况下，主管机关对符合声明承担全部责任。</w:t>
      </w:r>
    </w:p>
    <w:p>
      <w:pPr>
        <w:adjustRightInd w:val="0"/>
        <w:snapToGrid w:val="0"/>
        <w:ind w:firstLine="420" w:firstLineChars="200"/>
        <w:rPr>
          <w:rFonts w:ascii="宋体" w:hAnsi="宋体"/>
          <w:szCs w:val="21"/>
        </w:rPr>
      </w:pPr>
      <w:r>
        <w:rPr>
          <w:rFonts w:ascii="Times New Roman" w:hAnsi="Times New Roman" w:cs="Times New Roman"/>
          <w:szCs w:val="21"/>
        </w:rPr>
        <w:t>8  尽管有本条6的规定，根据本附则第28条规定，对连续三年被评为D级，或被评为E级的船舶不得签发符合声明，除非按本附则第28.7和28.8条制定了纠正行动计划并反应在SEEMP中且经主管机关或经其正式授权的任何组织验证</w:t>
      </w:r>
      <w:r>
        <w:rPr>
          <w:rFonts w:hint="eastAsia" w:ascii="宋体" w:hAnsi="宋体"/>
          <w:szCs w:val="21"/>
        </w:rPr>
        <w:t>。”</w:t>
      </w:r>
    </w:p>
    <w:p>
      <w:pPr>
        <w:adjustRightInd w:val="0"/>
        <w:snapToGrid w:val="0"/>
        <w:ind w:firstLine="420" w:firstLineChars="200"/>
        <w:rPr>
          <w:rFonts w:ascii="楷体" w:hAnsi="楷体" w:eastAsia="楷体" w:cs="楷体"/>
          <w:snapToGrid w:val="0"/>
          <w:color w:val="0000FF"/>
          <w:kern w:val="0"/>
          <w:szCs w:val="21"/>
        </w:rPr>
      </w:pPr>
    </w:p>
    <w:p>
      <w:pPr>
        <w:adjustRightInd w:val="0"/>
        <w:snapToGrid w:val="0"/>
        <w:rPr>
          <w:rFonts w:ascii="楷体" w:hAnsi="楷体" w:eastAsia="楷体" w:cs="楷体"/>
          <w:snapToGrid w:val="0"/>
          <w:color w:val="0000FF"/>
          <w:kern w:val="0"/>
          <w:szCs w:val="21"/>
        </w:rPr>
      </w:pPr>
    </w:p>
    <w:p>
      <w:pPr>
        <w:pStyle w:val="10"/>
        <w:adjustRightInd w:val="0"/>
        <w:snapToGrid w:val="0"/>
        <w:jc w:val="center"/>
        <w:outlineLvl w:val="3"/>
        <w:rPr>
          <w:rFonts w:ascii="Times New Roman" w:hAnsi="Times New Roman" w:eastAsia="黑体"/>
          <w:bCs/>
        </w:rPr>
      </w:pPr>
      <w:bookmarkStart w:id="74" w:name="_Toc12001"/>
      <w:r>
        <w:rPr>
          <w:rFonts w:hint="eastAsia" w:ascii="Times New Roman" w:hAnsi="Times New Roman" w:eastAsia="黑体"/>
          <w:bCs/>
        </w:rPr>
        <w:t>第7条  他国政府签发证书</w:t>
      </w:r>
      <w:bookmarkEnd w:id="74"/>
    </w:p>
    <w:p>
      <w:pPr>
        <w:adjustRightInd w:val="0"/>
        <w:snapToGrid w:val="0"/>
        <w:jc w:val="center"/>
        <w:rPr>
          <w:rFonts w:ascii="宋体" w:hAnsi="宋体"/>
          <w:b/>
          <w:sz w:val="24"/>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4</w:t>
      </w:r>
      <w:r>
        <w:rPr>
          <w:rFonts w:hint="eastAsia" w:ascii="楷体" w:hAnsi="楷体" w:eastAsia="楷体"/>
        </w:rPr>
        <w:t>改为：</w:t>
      </w:r>
    </w:p>
    <w:p>
      <w:pPr>
        <w:adjustRightInd w:val="0"/>
        <w:snapToGrid w:val="0"/>
        <w:ind w:firstLine="315" w:firstLineChars="150"/>
        <w:rPr>
          <w:rFonts w:ascii="宋体" w:hAnsi="宋体" w:cs="宋体"/>
          <w:kern w:val="0"/>
          <w:szCs w:val="21"/>
        </w:rPr>
      </w:pPr>
      <w:r>
        <w:rPr>
          <w:rFonts w:hint="eastAsia" w:ascii="宋体" w:hAnsi="宋体"/>
          <w:szCs w:val="21"/>
        </w:rPr>
        <w:t>“</w:t>
      </w:r>
      <w:r>
        <w:rPr>
          <w:rFonts w:ascii="Times New Roman" w:hAnsi="Times New Roman" w:cs="Times New Roman"/>
          <w:szCs w:val="21"/>
        </w:rPr>
        <w:t xml:space="preserve">4  </w:t>
      </w:r>
      <w:r>
        <w:rPr>
          <w:rFonts w:ascii="Times New Roman" w:hAnsi="Times New Roman" w:cs="Times New Roman"/>
          <w:kern w:val="0"/>
          <w:szCs w:val="21"/>
        </w:rPr>
        <w:t>对于悬挂非缔约国国旗的船舶，不得签发《国际防止空气污染证书》</w:t>
      </w:r>
      <w:r>
        <w:rPr>
          <w:rFonts w:ascii="Times New Roman" w:hAnsi="Times New Roman" w:cs="Times New Roman"/>
          <w:strike/>
          <w:color w:val="FF0000"/>
          <w:kern w:val="0"/>
          <w:szCs w:val="21"/>
        </w:rPr>
        <w:t>或</w:t>
      </w:r>
      <w:r>
        <w:rPr>
          <w:rFonts w:ascii="Times New Roman" w:hAnsi="Times New Roman" w:cs="Times New Roman"/>
          <w:color w:val="FF0000"/>
          <w:kern w:val="0"/>
          <w:szCs w:val="21"/>
          <w:u w:val="single"/>
        </w:rPr>
        <w:t>、</w:t>
      </w:r>
      <w:r>
        <w:rPr>
          <w:rFonts w:ascii="Times New Roman" w:hAnsi="Times New Roman" w:cs="Times New Roman"/>
          <w:kern w:val="0"/>
          <w:szCs w:val="21"/>
        </w:rPr>
        <w:t>《国际能效证书》</w:t>
      </w:r>
      <w:r>
        <w:rPr>
          <w:rFonts w:ascii="Times New Roman" w:hAnsi="Times New Roman" w:cs="Times New Roman"/>
          <w:color w:val="FF0000"/>
          <w:kern w:val="0"/>
          <w:u w:val="single"/>
        </w:rPr>
        <w:t>或UNSP驳船</w:t>
      </w:r>
      <w:r>
        <w:rPr>
          <w:rFonts w:cs="Times New Roman"/>
          <w:color w:val="FF0000"/>
          <w:kern w:val="0"/>
          <w:u w:val="single"/>
        </w:rPr>
        <w:t>免除证书</w:t>
      </w:r>
      <w:r>
        <w:rPr>
          <w:rFonts w:hint="eastAsia" w:ascii="宋体" w:hAnsi="宋体" w:cs="宋体"/>
          <w:kern w:val="0"/>
          <w:szCs w:val="21"/>
        </w:rPr>
        <w:t>。”</w:t>
      </w:r>
    </w:p>
    <w:p>
      <w:pPr>
        <w:adjustRightInd w:val="0"/>
        <w:snapToGrid w:val="0"/>
        <w:ind w:firstLine="315" w:firstLineChars="150"/>
        <w:rPr>
          <w:rFonts w:ascii="宋体" w:hAnsi="宋体"/>
        </w:rPr>
      </w:pPr>
    </w:p>
    <w:p>
      <w:pPr>
        <w:adjustRightInd w:val="0"/>
        <w:snapToGrid w:val="0"/>
        <w:ind w:firstLine="315" w:firstLineChars="150"/>
        <w:rPr>
          <w:rFonts w:ascii="楷体" w:hAnsi="楷体" w:eastAsia="楷体"/>
        </w:rPr>
      </w:pPr>
      <w:r>
        <w:rPr>
          <w:rFonts w:hint="eastAsia" w:ascii="楷体" w:hAnsi="楷体" w:eastAsia="楷体"/>
        </w:rPr>
        <w:t>原第</w:t>
      </w:r>
      <w:r>
        <w:rPr>
          <w:rFonts w:ascii="楷体" w:hAnsi="楷体" w:eastAsia="楷体"/>
        </w:rPr>
        <w:t>8</w:t>
      </w:r>
      <w:r>
        <w:rPr>
          <w:rFonts w:hint="eastAsia" w:ascii="楷体" w:hAnsi="楷体" w:eastAsia="楷体"/>
        </w:rPr>
        <w:t>条改为：</w:t>
      </w:r>
    </w:p>
    <w:p>
      <w:pPr>
        <w:pStyle w:val="10"/>
        <w:adjustRightInd w:val="0"/>
        <w:snapToGrid w:val="0"/>
        <w:jc w:val="center"/>
        <w:outlineLvl w:val="3"/>
        <w:rPr>
          <w:rFonts w:ascii="Times New Roman" w:hAnsi="Times New Roman" w:eastAsia="黑体"/>
          <w:bCs/>
        </w:rPr>
      </w:pPr>
      <w:bookmarkStart w:id="75" w:name="_Toc30474"/>
      <w:r>
        <w:rPr>
          <w:rFonts w:hint="eastAsia" w:asciiTheme="minorEastAsia" w:hAnsiTheme="minorEastAsia" w:cstheme="minorEastAsia"/>
          <w:bCs/>
        </w:rPr>
        <w:t>“</w:t>
      </w:r>
      <w:r>
        <w:rPr>
          <w:rFonts w:hint="eastAsia" w:ascii="Times New Roman" w:hAnsi="Times New Roman" w:eastAsia="黑体"/>
          <w:bCs/>
        </w:rPr>
        <w:t>第8条  证书和关于燃油消耗报告</w:t>
      </w:r>
      <w:r>
        <w:rPr>
          <w:rFonts w:hint="eastAsia" w:ascii="Times New Roman" w:hAnsi="Times New Roman" w:eastAsia="黑体"/>
          <w:bCs/>
          <w:color w:val="FF0000"/>
          <w:u w:val="single"/>
        </w:rPr>
        <w:t>和营运碳强度评级</w:t>
      </w:r>
      <w:r>
        <w:rPr>
          <w:rFonts w:hint="eastAsia" w:ascii="Times New Roman" w:hAnsi="Times New Roman" w:eastAsia="黑体"/>
          <w:bCs/>
        </w:rPr>
        <w:t>的符合声明格式</w:t>
      </w:r>
      <w:r>
        <w:rPr>
          <w:rFonts w:hint="eastAsia" w:hAnsi="宋体" w:eastAsia="宋体" w:cs="宋体"/>
          <w:bCs/>
        </w:rPr>
        <w:t>”</w:t>
      </w:r>
      <w:bookmarkEnd w:id="75"/>
    </w:p>
    <w:p>
      <w:pPr>
        <w:adjustRightInd w:val="0"/>
        <w:snapToGrid w:val="0"/>
        <w:jc w:val="center"/>
        <w:rPr>
          <w:rFonts w:ascii="宋体" w:hAnsi="宋体"/>
          <w:b/>
          <w:sz w:val="24"/>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3</w:t>
      </w:r>
      <w:r>
        <w:rPr>
          <w:rFonts w:hint="eastAsia" w:ascii="楷体" w:hAnsi="楷体" w:eastAsia="楷体"/>
        </w:rPr>
        <w:t>改为：</w:t>
      </w:r>
    </w:p>
    <w:p>
      <w:pPr>
        <w:adjustRightInd w:val="0"/>
        <w:snapToGrid w:val="0"/>
        <w:ind w:firstLine="420" w:firstLineChars="200"/>
        <w:rPr>
          <w:rFonts w:ascii="宋体" w:hAnsi="宋体"/>
          <w:b/>
          <w:strike/>
          <w:color w:val="FF0000"/>
        </w:rPr>
      </w:pPr>
      <w:r>
        <w:rPr>
          <w:rFonts w:hint="eastAsia" w:ascii="宋体" w:hAnsi="宋体"/>
          <w:bCs/>
        </w:rPr>
        <w:t>“</w:t>
      </w:r>
      <w:r>
        <w:rPr>
          <w:rFonts w:hint="eastAsia" w:ascii="宋体" w:hAnsi="宋体"/>
          <w:b/>
          <w:strike/>
          <w:color w:val="FF0000"/>
        </w:rPr>
        <w:t>符合声明——燃油消耗报告</w:t>
      </w:r>
      <w:r>
        <w:rPr>
          <w:rFonts w:hint="eastAsia" w:ascii="宋体" w:hAnsi="宋体"/>
          <w:b/>
          <w:color w:val="FF0000"/>
          <w:szCs w:val="21"/>
          <w:u w:val="single"/>
        </w:rPr>
        <w:t>关于燃油消耗报告和营运碳强度评级的符合声明</w:t>
      </w:r>
    </w:p>
    <w:p>
      <w:pPr>
        <w:adjustRightInd w:val="0"/>
        <w:snapToGrid w:val="0"/>
        <w:ind w:firstLine="315" w:firstLineChars="150"/>
        <w:rPr>
          <w:rFonts w:ascii="宋体" w:hAnsi="宋体"/>
        </w:rPr>
      </w:pPr>
      <w:r>
        <w:rPr>
          <w:rFonts w:ascii="Times New Roman" w:hAnsi="Times New Roman" w:cs="Times New Roman"/>
        </w:rPr>
        <w:t xml:space="preserve">3  </w:t>
      </w:r>
      <w:r>
        <w:rPr>
          <w:rFonts w:ascii="Times New Roman" w:hAnsi="Times New Roman" w:cs="Times New Roman"/>
          <w:szCs w:val="21"/>
        </w:rPr>
        <w:t>根据</w:t>
      </w:r>
      <w:r>
        <w:rPr>
          <w:rFonts w:ascii="Times New Roman" w:hAnsi="Times New Roman" w:cs="Times New Roman"/>
        </w:rPr>
        <w:t>本附则第6.6和6.7条签发的符合声明应按与本附则附录X所示样本相一致的格式写成，并应至少使用英文、法文或西班牙文的其中一种语言。如同时使用发证国的官方语言，则在有争议或分歧时，应以该国官方</w:t>
      </w:r>
      <w:r>
        <w:rPr>
          <w:rFonts w:hint="eastAsia" w:ascii="宋体" w:hAnsi="宋体"/>
        </w:rPr>
        <w:t>语言为准。”</w:t>
      </w:r>
    </w:p>
    <w:p>
      <w:pPr>
        <w:adjustRightInd w:val="0"/>
        <w:snapToGrid w:val="0"/>
        <w:ind w:firstLine="315" w:firstLineChars="150"/>
        <w:rPr>
          <w:rFonts w:ascii="宋体" w:hAnsi="宋体"/>
        </w:rPr>
      </w:pPr>
    </w:p>
    <w:p>
      <w:pPr>
        <w:adjustRightInd w:val="0"/>
        <w:snapToGrid w:val="0"/>
        <w:ind w:firstLine="315" w:firstLineChars="150"/>
        <w:rPr>
          <w:rFonts w:ascii="楷体" w:hAnsi="楷体" w:eastAsia="楷体"/>
        </w:rPr>
      </w:pPr>
      <w:r>
        <w:rPr>
          <w:rFonts w:hint="eastAsia" w:ascii="楷体" w:hAnsi="楷体" w:eastAsia="楷体"/>
        </w:rPr>
        <w:t>新增</w:t>
      </w:r>
      <w:r>
        <w:rPr>
          <w:rFonts w:ascii="楷体" w:hAnsi="楷体" w:eastAsia="楷体"/>
        </w:rPr>
        <w:t>4</w:t>
      </w:r>
      <w:r>
        <w:rPr>
          <w:rFonts w:hint="eastAsia" w:ascii="楷体" w:hAnsi="楷体" w:eastAsia="楷体"/>
        </w:rPr>
        <w:t>如下：</w:t>
      </w:r>
    </w:p>
    <w:p>
      <w:pPr>
        <w:adjustRightInd w:val="0"/>
        <w:snapToGrid w:val="0"/>
        <w:ind w:firstLine="420" w:firstLineChars="200"/>
        <w:rPr>
          <w:rFonts w:ascii="宋体" w:hAnsi="宋体"/>
          <w:b/>
          <w:color w:val="FF0000"/>
          <w:szCs w:val="21"/>
          <w:u w:val="single"/>
        </w:rPr>
      </w:pPr>
      <w:r>
        <w:rPr>
          <w:rFonts w:hint="eastAsia" w:ascii="宋体" w:hAnsi="宋体"/>
          <w:bCs/>
        </w:rPr>
        <w:t>“</w:t>
      </w:r>
      <w:r>
        <w:rPr>
          <w:rFonts w:hint="eastAsia" w:ascii="宋体" w:hAnsi="宋体"/>
          <w:b/>
          <w:color w:val="FF0000"/>
          <w:szCs w:val="21"/>
          <w:u w:val="single"/>
        </w:rPr>
        <w:t>无人非自航驳船国际防止空气污染免除证书</w:t>
      </w:r>
    </w:p>
    <w:p>
      <w:pPr>
        <w:adjustRightInd w:val="0"/>
        <w:snapToGrid w:val="0"/>
        <w:ind w:firstLine="315" w:firstLineChars="150"/>
        <w:rPr>
          <w:rFonts w:ascii="宋体" w:hAnsi="宋体"/>
          <w:color w:val="FF0000"/>
          <w:u w:val="single"/>
        </w:rPr>
      </w:pPr>
      <w:r>
        <w:rPr>
          <w:rFonts w:ascii="Times New Roman" w:hAnsi="Times New Roman" w:cs="Times New Roman"/>
          <w:color w:val="FF0000"/>
          <w:u w:val="single"/>
        </w:rPr>
        <w:t xml:space="preserve">4  </w:t>
      </w:r>
      <w:r>
        <w:rPr>
          <w:rFonts w:ascii="Times New Roman" w:hAnsi="Times New Roman" w:cs="Times New Roman"/>
          <w:color w:val="FF0000"/>
          <w:szCs w:val="21"/>
          <w:u w:val="single"/>
        </w:rPr>
        <w:t>根据</w:t>
      </w:r>
      <w:r>
        <w:rPr>
          <w:rFonts w:ascii="Times New Roman" w:hAnsi="Times New Roman" w:cs="Times New Roman"/>
          <w:color w:val="FF0000"/>
          <w:u w:val="single"/>
        </w:rPr>
        <w:t>本附则第3.4条，无人非自航驳船国际防止空气污染免除证书应按与本附则附录XII所示样本相一致的格式写成，</w:t>
      </w:r>
      <w:r>
        <w:rPr>
          <w:rFonts w:hint="eastAsia" w:ascii="宋体" w:hAnsi="宋体"/>
          <w:color w:val="FF0000"/>
          <w:u w:val="single"/>
        </w:rPr>
        <w:t>并应至少使用英文、法文或西班牙文的其中一种语言。如同时使用发证国的官方语言，则在有争议或分歧时，应以该国官方语言为准。</w:t>
      </w:r>
      <w:r>
        <w:rPr>
          <w:rFonts w:hint="eastAsia" w:ascii="宋体" w:hAnsi="宋体"/>
        </w:rPr>
        <w:t>”</w:t>
      </w:r>
    </w:p>
    <w:p>
      <w:pPr>
        <w:adjustRightInd w:val="0"/>
        <w:snapToGrid w:val="0"/>
        <w:ind w:firstLine="315" w:firstLineChars="150"/>
        <w:rPr>
          <w:rFonts w:ascii="宋体" w:hAnsi="宋体"/>
        </w:rPr>
      </w:pPr>
    </w:p>
    <w:p>
      <w:pPr>
        <w:adjustRightInd w:val="0"/>
        <w:snapToGrid w:val="0"/>
        <w:ind w:firstLine="315" w:firstLineChars="150"/>
        <w:rPr>
          <w:rFonts w:ascii="楷体" w:hAnsi="楷体" w:eastAsia="楷体"/>
        </w:rPr>
      </w:pPr>
      <w:r>
        <w:rPr>
          <w:rFonts w:hint="eastAsia" w:ascii="楷体" w:hAnsi="楷体" w:eastAsia="楷体"/>
        </w:rPr>
        <w:t>原第</w:t>
      </w:r>
      <w:r>
        <w:rPr>
          <w:rFonts w:ascii="楷体" w:hAnsi="楷体" w:eastAsia="楷体"/>
        </w:rPr>
        <w:t>9</w:t>
      </w:r>
      <w:r>
        <w:rPr>
          <w:rFonts w:hint="eastAsia" w:ascii="楷体" w:hAnsi="楷体" w:eastAsia="楷体"/>
        </w:rPr>
        <w:t>条改为：</w:t>
      </w:r>
    </w:p>
    <w:p>
      <w:pPr>
        <w:pStyle w:val="10"/>
        <w:adjustRightInd w:val="0"/>
        <w:snapToGrid w:val="0"/>
        <w:jc w:val="center"/>
        <w:outlineLvl w:val="3"/>
        <w:rPr>
          <w:rFonts w:ascii="Times New Roman" w:hAnsi="Times New Roman" w:eastAsia="黑体"/>
          <w:bCs/>
        </w:rPr>
      </w:pPr>
      <w:bookmarkStart w:id="76" w:name="_Toc1501"/>
      <w:r>
        <w:rPr>
          <w:rFonts w:hint="eastAsia" w:hAnsi="宋体" w:eastAsia="宋体" w:cs="宋体"/>
          <w:bCs/>
        </w:rPr>
        <w:t>“</w:t>
      </w:r>
      <w:r>
        <w:rPr>
          <w:rFonts w:hint="eastAsia" w:ascii="Times New Roman" w:hAnsi="Times New Roman" w:eastAsia="黑体"/>
          <w:bCs/>
        </w:rPr>
        <w:t>第9条  证书和关于燃油消耗报告</w:t>
      </w:r>
      <w:r>
        <w:rPr>
          <w:rFonts w:hint="eastAsia" w:hAnsi="宋体"/>
          <w:b/>
          <w:color w:val="FF0000"/>
          <w:u w:val="single"/>
        </w:rPr>
        <w:t>和营运碳强度评级</w:t>
      </w:r>
      <w:r>
        <w:rPr>
          <w:rFonts w:hint="eastAsia" w:ascii="Times New Roman" w:hAnsi="Times New Roman" w:eastAsia="黑体"/>
          <w:bCs/>
        </w:rPr>
        <w:t>的符合声明的有效期限</w:t>
      </w:r>
      <w:r>
        <w:rPr>
          <w:rFonts w:hint="eastAsia" w:hAnsi="宋体" w:eastAsia="宋体" w:cs="宋体"/>
          <w:bCs/>
        </w:rPr>
        <w:t>”</w:t>
      </w:r>
      <w:bookmarkEnd w:id="76"/>
    </w:p>
    <w:p>
      <w:pPr>
        <w:adjustRightInd w:val="0"/>
        <w:snapToGrid w:val="0"/>
        <w:jc w:val="center"/>
        <w:rPr>
          <w:rFonts w:ascii="宋体" w:hAnsi="宋体"/>
          <w:szCs w:val="21"/>
        </w:rPr>
      </w:pPr>
    </w:p>
    <w:p>
      <w:pPr>
        <w:adjustRightInd w:val="0"/>
        <w:snapToGrid w:val="0"/>
        <w:ind w:firstLine="316" w:firstLineChars="150"/>
        <w:rPr>
          <w:rFonts w:ascii="宋体" w:hAnsi="宋体"/>
          <w:szCs w:val="21"/>
        </w:rPr>
      </w:pPr>
      <w:r>
        <w:rPr>
          <w:rFonts w:hint="eastAsia" w:ascii="宋体" w:hAnsi="宋体"/>
          <w:b/>
          <w:szCs w:val="21"/>
        </w:rPr>
        <w:t>国际防止空气污染证书</w:t>
      </w:r>
    </w:p>
    <w:p>
      <w:pPr>
        <w:adjustRightInd w:val="0"/>
        <w:snapToGrid w:val="0"/>
        <w:ind w:firstLine="315" w:firstLineChars="150"/>
        <w:rPr>
          <w:rFonts w:ascii="楷体" w:hAnsi="楷体" w:eastAsia="楷体"/>
        </w:rPr>
      </w:pPr>
      <w:r>
        <w:rPr>
          <w:rFonts w:ascii="楷体" w:hAnsi="楷体" w:eastAsia="楷体"/>
        </w:rPr>
        <w:t>原11.2</w:t>
      </w:r>
      <w:r>
        <w:rPr>
          <w:rFonts w:hint="eastAsia" w:ascii="楷体" w:hAnsi="楷体" w:eastAsia="楷体"/>
        </w:rPr>
        <w:t>改为：</w:t>
      </w:r>
    </w:p>
    <w:p>
      <w:pPr>
        <w:adjustRightInd w:val="0"/>
        <w:snapToGrid w:val="0"/>
        <w:ind w:left="1045" w:leftChars="200" w:hanging="625" w:hangingChars="298"/>
        <w:rPr>
          <w:color w:val="FF0000"/>
          <w:kern w:val="0"/>
          <w:u w:val="single"/>
        </w:rPr>
      </w:pPr>
      <w:r>
        <w:rPr>
          <w:rFonts w:hint="eastAsia" w:ascii="宋体"/>
          <w:szCs w:val="21"/>
        </w:rPr>
        <w:t xml:space="preserve">  “</w:t>
      </w:r>
      <w:r>
        <w:rPr>
          <w:rFonts w:ascii="Times New Roman" w:hAnsi="Times New Roman" w:cs="Times New Roman"/>
          <w:szCs w:val="21"/>
        </w:rPr>
        <w:t xml:space="preserve">.2  </w:t>
      </w:r>
      <w:r>
        <w:rPr>
          <w:rFonts w:ascii="Times New Roman" w:hAnsi="Times New Roman" w:cs="Times New Roman"/>
          <w:kern w:val="0"/>
          <w:szCs w:val="21"/>
        </w:rPr>
        <w:t>船舶变更船旗国。只有当换发新证书的政府确信该船符合本附则第IV节的要求时，才能签发新的证书。如果变更船旗系在缔约国之间进行，则在变更后的3个月内，前船旗</w:t>
      </w:r>
      <w:r>
        <w:rPr>
          <w:rFonts w:hint="eastAsia" w:ascii="宋体" w:hAnsi="宋体"/>
          <w:kern w:val="0"/>
          <w:szCs w:val="21"/>
        </w:rPr>
        <w:t>国政府如收到申请，应尽快将变更船旗前该船所携证书的副本以及相关的检验报告副本（如备有）送交该船新的主管机关</w:t>
      </w:r>
      <w:r>
        <w:rPr>
          <w:rFonts w:hint="eastAsia" w:ascii="宋体" w:hAnsi="宋体"/>
          <w:strike/>
          <w:color w:val="FF0000"/>
          <w:kern w:val="0"/>
          <w:szCs w:val="21"/>
        </w:rPr>
        <w:t>。</w:t>
      </w:r>
      <w:r>
        <w:rPr>
          <w:rFonts w:hint="eastAsia"/>
          <w:color w:val="FF0000"/>
          <w:kern w:val="0"/>
          <w:u w:val="single"/>
        </w:rPr>
        <w:t>；或</w:t>
      </w:r>
      <w:r>
        <w:rPr>
          <w:rFonts w:hint="eastAsia"/>
          <w:kern w:val="0"/>
        </w:rPr>
        <w:t>”</w:t>
      </w:r>
    </w:p>
    <w:p>
      <w:pPr>
        <w:adjustRightInd w:val="0"/>
        <w:snapToGrid w:val="0"/>
        <w:ind w:left="1045" w:leftChars="200" w:hanging="625" w:hangingChars="298"/>
        <w:rPr>
          <w:color w:val="FF0000"/>
          <w:kern w:val="0"/>
          <w:u w:val="single"/>
        </w:rPr>
      </w:pPr>
    </w:p>
    <w:p>
      <w:pPr>
        <w:adjustRightInd w:val="0"/>
        <w:snapToGrid w:val="0"/>
        <w:ind w:firstLine="315" w:firstLineChars="150"/>
        <w:rPr>
          <w:rFonts w:ascii="楷体" w:hAnsi="楷体" w:eastAsia="楷体"/>
        </w:rPr>
      </w:pPr>
      <w:r>
        <w:rPr>
          <w:rFonts w:hint="eastAsia" w:ascii="楷体" w:hAnsi="楷体" w:eastAsia="楷体"/>
        </w:rPr>
        <w:t>新增</w:t>
      </w:r>
      <w:r>
        <w:rPr>
          <w:rFonts w:ascii="楷体" w:hAnsi="楷体" w:eastAsia="楷体"/>
        </w:rPr>
        <w:t>11.3</w:t>
      </w:r>
      <w:r>
        <w:rPr>
          <w:rFonts w:hint="eastAsia" w:ascii="楷体" w:hAnsi="楷体" w:eastAsia="楷体"/>
        </w:rPr>
        <w:t>如下：</w:t>
      </w:r>
    </w:p>
    <w:p>
      <w:pPr>
        <w:adjustRightInd w:val="0"/>
        <w:snapToGrid w:val="0"/>
        <w:ind w:left="1045" w:leftChars="300" w:hanging="415" w:hangingChars="198"/>
        <w:rPr>
          <w:rFonts w:ascii="宋体" w:hAnsi="宋体"/>
          <w:szCs w:val="21"/>
        </w:rPr>
      </w:pPr>
      <w:r>
        <w:rPr>
          <w:rFonts w:hint="eastAsia" w:ascii="宋体" w:hAnsi="宋体"/>
          <w:szCs w:val="21"/>
        </w:rPr>
        <w:t>“</w:t>
      </w:r>
      <w:r>
        <w:rPr>
          <w:rFonts w:ascii="Times New Roman" w:hAnsi="Times New Roman" w:cs="Times New Roman"/>
          <w:color w:val="FF0000"/>
          <w:szCs w:val="21"/>
          <w:u w:val="single"/>
        </w:rPr>
        <w:t>.3  除适用本附则第3条的情况以外，如果未经主管机关的专门认可，经过检验的设备、系统、附件、布置或材料发生变动，见本附则第5.5条</w:t>
      </w:r>
      <w:r>
        <w:rPr>
          <w:rFonts w:hint="eastAsia" w:ascii="宋体" w:hAnsi="宋体"/>
          <w:color w:val="FF0000"/>
          <w:szCs w:val="21"/>
          <w:u w:val="single"/>
        </w:rPr>
        <w:t>的规定。</w:t>
      </w:r>
      <w:r>
        <w:rPr>
          <w:rFonts w:hint="eastAsia" w:ascii="宋体" w:hAnsi="宋体"/>
          <w:szCs w:val="21"/>
        </w:rPr>
        <w:t>”</w:t>
      </w:r>
    </w:p>
    <w:p>
      <w:pPr>
        <w:adjustRightInd w:val="0"/>
        <w:snapToGrid w:val="0"/>
        <w:ind w:left="1045" w:leftChars="300" w:hanging="415" w:hangingChars="198"/>
        <w:rPr>
          <w:rFonts w:ascii="宋体" w:hAnsi="宋体"/>
          <w:szCs w:val="21"/>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12</w:t>
      </w:r>
      <w:r>
        <w:rPr>
          <w:rFonts w:hint="eastAsia" w:ascii="楷体" w:hAnsi="楷体" w:eastAsia="楷体"/>
        </w:rPr>
        <w:t>改为：</w:t>
      </w:r>
    </w:p>
    <w:p>
      <w:pPr>
        <w:adjustRightInd w:val="0"/>
        <w:snapToGrid w:val="0"/>
        <w:ind w:firstLine="210" w:firstLineChars="100"/>
        <w:rPr>
          <w:rFonts w:ascii="宋体" w:hAnsi="宋体"/>
          <w:b/>
          <w:strike/>
          <w:color w:val="FF0000"/>
        </w:rPr>
      </w:pPr>
      <w:r>
        <w:rPr>
          <w:rFonts w:hint="eastAsia" w:ascii="宋体" w:hAnsi="宋体"/>
          <w:bCs/>
        </w:rPr>
        <w:t>“</w:t>
      </w:r>
      <w:r>
        <w:rPr>
          <w:rFonts w:hint="eastAsia" w:ascii="宋体" w:hAnsi="宋体"/>
          <w:b/>
          <w:strike/>
          <w:color w:val="FF0000"/>
        </w:rPr>
        <w:t>符合声明——燃油消耗报告</w:t>
      </w:r>
      <w:r>
        <w:rPr>
          <w:rFonts w:hint="eastAsia" w:ascii="宋体" w:hAnsi="宋体"/>
          <w:b/>
          <w:color w:val="FF0000"/>
          <w:szCs w:val="21"/>
          <w:u w:val="single"/>
        </w:rPr>
        <w:t>关于燃油消耗报告和营运碳强度评级的符合声明</w:t>
      </w:r>
    </w:p>
    <w:p>
      <w:pPr>
        <w:adjustRightInd w:val="0"/>
        <w:snapToGrid w:val="0"/>
        <w:ind w:left="15" w:leftChars="7" w:firstLine="298" w:firstLineChars="142"/>
        <w:rPr>
          <w:rFonts w:ascii="宋体" w:hAnsi="宋体"/>
        </w:rPr>
      </w:pPr>
      <w:r>
        <w:rPr>
          <w:rFonts w:ascii="Times New Roman" w:hAnsi="Times New Roman" w:cs="Times New Roman"/>
          <w:szCs w:val="21"/>
        </w:rPr>
        <w:t>12  按本附则第6.6条签发的符合声明应从符合声明签发的日历年至下一个日历年的前5个月内有效。按本附则第6.7条签发的符合声明应从符合声明签发的日历年至下一个日历年再至随后一个日历年的前5个月内有效。所有符合声明应</w:t>
      </w:r>
      <w:r>
        <w:rPr>
          <w:rFonts w:ascii="Times New Roman" w:hAnsi="Times New Roman" w:cs="Times New Roman"/>
          <w:strike/>
          <w:color w:val="FF0000"/>
          <w:szCs w:val="21"/>
        </w:rPr>
        <w:t>至少在其有效期内保存</w:t>
      </w:r>
      <w:r>
        <w:rPr>
          <w:rFonts w:ascii="Times New Roman" w:hAnsi="Times New Roman" w:cs="Times New Roman"/>
          <w:szCs w:val="21"/>
        </w:rPr>
        <w:t>在船上</w:t>
      </w:r>
      <w:r>
        <w:rPr>
          <w:rFonts w:ascii="Times New Roman" w:hAnsi="Times New Roman" w:cs="Times New Roman"/>
          <w:color w:val="FF0000"/>
          <w:u w:val="single"/>
        </w:rPr>
        <w:t>保存至少5年</w:t>
      </w:r>
      <w:r>
        <w:rPr>
          <w:rFonts w:hint="eastAsia" w:ascii="宋体" w:hAnsi="宋体"/>
          <w:szCs w:val="21"/>
        </w:rPr>
        <w:t>。”</w:t>
      </w:r>
    </w:p>
    <w:p>
      <w:pPr>
        <w:adjustRightInd w:val="0"/>
        <w:snapToGrid w:val="0"/>
        <w:rPr>
          <w:rFonts w:ascii="楷体" w:hAnsi="楷体" w:eastAsia="楷体" w:cs="楷体"/>
          <w:snapToGrid w:val="0"/>
          <w:color w:val="0000FF"/>
          <w:kern w:val="0"/>
          <w:szCs w:val="21"/>
        </w:rPr>
      </w:pPr>
    </w:p>
    <w:p>
      <w:pPr>
        <w:adjustRightInd w:val="0"/>
        <w:snapToGrid w:val="0"/>
        <w:ind w:left="1020" w:leftChars="200" w:hanging="600" w:hangingChars="250"/>
        <w:rPr>
          <w:rFonts w:ascii="宋体" w:hAnsi="宋体"/>
          <w:sz w:val="24"/>
        </w:rPr>
      </w:pPr>
    </w:p>
    <w:p>
      <w:pPr>
        <w:pStyle w:val="10"/>
        <w:adjustRightInd w:val="0"/>
        <w:snapToGrid w:val="0"/>
        <w:jc w:val="center"/>
        <w:outlineLvl w:val="3"/>
        <w:rPr>
          <w:rFonts w:ascii="Times New Roman" w:hAnsi="Times New Roman" w:eastAsia="黑体"/>
          <w:bCs/>
        </w:rPr>
      </w:pPr>
      <w:bookmarkStart w:id="77" w:name="_Toc12715"/>
      <w:r>
        <w:rPr>
          <w:rFonts w:hint="eastAsia" w:ascii="Times New Roman" w:hAnsi="Times New Roman" w:eastAsia="黑体"/>
          <w:bCs/>
        </w:rPr>
        <w:t>第10条  关于操作要求的港口国控制</w:t>
      </w:r>
      <w:bookmarkEnd w:id="77"/>
    </w:p>
    <w:p>
      <w:pPr>
        <w:adjustRightInd w:val="0"/>
        <w:snapToGrid w:val="0"/>
        <w:rPr>
          <w:rFonts w:ascii="宋体" w:hAnsi="宋体"/>
          <w:sz w:val="24"/>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5</w:t>
      </w:r>
      <w:r>
        <w:rPr>
          <w:rFonts w:hint="eastAsia" w:ascii="楷体" w:hAnsi="楷体" w:eastAsia="楷体"/>
        </w:rPr>
        <w:t>改为：</w:t>
      </w:r>
    </w:p>
    <w:p>
      <w:pPr>
        <w:adjustRightInd w:val="0"/>
        <w:snapToGrid w:val="0"/>
        <w:ind w:firstLine="315" w:firstLineChars="150"/>
        <w:rPr>
          <w:rFonts w:ascii="宋体" w:hAnsi="宋体"/>
          <w:szCs w:val="21"/>
        </w:rPr>
      </w:pPr>
      <w:r>
        <w:rPr>
          <w:rFonts w:hint="eastAsia" w:ascii="宋体" w:hAnsi="宋体"/>
          <w:szCs w:val="21"/>
        </w:rPr>
        <w:t>“</w:t>
      </w:r>
      <w:r>
        <w:rPr>
          <w:rFonts w:ascii="Times New Roman" w:hAnsi="Times New Roman" w:cs="Times New Roman"/>
          <w:szCs w:val="21"/>
        </w:rPr>
        <w:t>5  与本附则第IV节有关的任何港口国检查，</w:t>
      </w:r>
      <w:r>
        <w:rPr>
          <w:rFonts w:ascii="Times New Roman" w:hAnsi="Times New Roman" w:cs="Times New Roman"/>
          <w:strike/>
          <w:color w:val="FF0000"/>
          <w:szCs w:val="21"/>
        </w:rPr>
        <w:t>应</w:t>
      </w:r>
      <w:r>
        <w:rPr>
          <w:rFonts w:ascii="Times New Roman" w:hAnsi="Times New Roman" w:cs="Times New Roman"/>
          <w:color w:val="FF0000"/>
          <w:szCs w:val="21"/>
          <w:u w:val="single"/>
        </w:rPr>
        <w:t>可</w:t>
      </w:r>
      <w:r>
        <w:rPr>
          <w:rFonts w:ascii="Times New Roman" w:hAnsi="Times New Roman" w:cs="Times New Roman"/>
          <w:szCs w:val="21"/>
        </w:rPr>
        <w:t>按MARPOL公约第5条的要求</w:t>
      </w:r>
      <w:r>
        <w:rPr>
          <w:rFonts w:ascii="Times New Roman" w:hAnsi="Times New Roman" w:cs="Times New Roman"/>
          <w:strike/>
          <w:color w:val="FF0000"/>
          <w:szCs w:val="21"/>
        </w:rPr>
        <w:t>以</w:t>
      </w:r>
      <w:r>
        <w:rPr>
          <w:rFonts w:ascii="Times New Roman" w:hAnsi="Times New Roman" w:cs="Times New Roman"/>
          <w:szCs w:val="21"/>
        </w:rPr>
        <w:t>核实（适用时）船上是否备有有效的</w:t>
      </w:r>
      <w:r>
        <w:rPr>
          <w:rFonts w:ascii="Times New Roman" w:hAnsi="Times New Roman" w:cs="Times New Roman"/>
          <w:color w:val="FF0000"/>
          <w:szCs w:val="21"/>
          <w:u w:val="single"/>
        </w:rPr>
        <w:t>关于</w:t>
      </w:r>
      <w:r>
        <w:rPr>
          <w:rFonts w:ascii="Times New Roman" w:hAnsi="Times New Roman" w:cs="Times New Roman"/>
          <w:strike/>
          <w:color w:val="FF0000"/>
          <w:szCs w:val="21"/>
        </w:rPr>
        <w:t>与</w:t>
      </w:r>
      <w:r>
        <w:rPr>
          <w:rFonts w:ascii="Times New Roman" w:hAnsi="Times New Roman" w:cs="Times New Roman"/>
          <w:szCs w:val="21"/>
        </w:rPr>
        <w:t>燃油消耗报告</w:t>
      </w:r>
      <w:r>
        <w:rPr>
          <w:rFonts w:ascii="Times New Roman" w:hAnsi="Times New Roman" w:cs="Times New Roman"/>
          <w:color w:val="FF0000"/>
          <w:u w:val="single"/>
        </w:rPr>
        <w:t>和营运碳强度评级</w:t>
      </w:r>
      <w:r>
        <w:rPr>
          <w:rFonts w:ascii="Times New Roman" w:hAnsi="Times New Roman" w:cs="Times New Roman"/>
          <w:strike/>
          <w:color w:val="FF0000"/>
          <w:u w:val="single"/>
        </w:rPr>
        <w:t>的</w:t>
      </w:r>
      <w:r>
        <w:rPr>
          <w:rFonts w:ascii="Times New Roman" w:hAnsi="Times New Roman" w:cs="Times New Roman"/>
          <w:strike/>
          <w:color w:val="FF0000"/>
          <w:szCs w:val="21"/>
        </w:rPr>
        <w:t>有关</w:t>
      </w:r>
      <w:r>
        <w:rPr>
          <w:rFonts w:ascii="Times New Roman" w:hAnsi="Times New Roman" w:cs="Times New Roman"/>
          <w:szCs w:val="21"/>
        </w:rPr>
        <w:t>的符合声明</w:t>
      </w:r>
      <w:r>
        <w:rPr>
          <w:rFonts w:ascii="Times New Roman" w:hAnsi="Times New Roman" w:cs="Times New Roman"/>
          <w:strike/>
          <w:color w:val="FF0000"/>
          <w:szCs w:val="21"/>
        </w:rPr>
        <w:t>以及</w:t>
      </w:r>
      <w:r>
        <w:rPr>
          <w:rFonts w:ascii="Times New Roman" w:hAnsi="Times New Roman" w:cs="Times New Roman"/>
          <w:color w:val="FF0000"/>
          <w:szCs w:val="21"/>
          <w:u w:val="single"/>
        </w:rPr>
        <w:t>、</w:t>
      </w:r>
      <w:r>
        <w:rPr>
          <w:rFonts w:ascii="Times New Roman" w:hAnsi="Times New Roman" w:cs="Times New Roman"/>
          <w:szCs w:val="21"/>
        </w:rPr>
        <w:t>国际能效证书</w:t>
      </w:r>
      <w:r>
        <w:rPr>
          <w:rFonts w:ascii="Times New Roman" w:hAnsi="Times New Roman" w:cs="Times New Roman"/>
          <w:strike/>
          <w:color w:val="FF0000"/>
          <w:szCs w:val="21"/>
        </w:rPr>
        <w:t>为限</w:t>
      </w:r>
      <w:r>
        <w:rPr>
          <w:rFonts w:ascii="Times New Roman" w:hAnsi="Times New Roman" w:cs="Times New Roman"/>
          <w:color w:val="FF0000"/>
          <w:u w:val="single"/>
        </w:rPr>
        <w:t>和船舶能效管理计</w:t>
      </w:r>
      <w:r>
        <w:rPr>
          <w:rFonts w:hint="eastAsia" w:hAnsi="宋体"/>
          <w:color w:val="FF0000"/>
          <w:u w:val="single"/>
        </w:rPr>
        <w:t>划</w:t>
      </w:r>
      <w:r>
        <w:rPr>
          <w:rFonts w:hint="eastAsia" w:ascii="宋体" w:hAnsi="宋体"/>
          <w:szCs w:val="21"/>
        </w:rPr>
        <w:t>。”</w:t>
      </w:r>
    </w:p>
    <w:p>
      <w:pPr>
        <w:adjustRightInd w:val="0"/>
        <w:snapToGrid w:val="0"/>
        <w:ind w:firstLine="315" w:firstLineChars="150"/>
        <w:rPr>
          <w:rFonts w:ascii="宋体" w:hAnsi="宋体"/>
          <w:szCs w:val="21"/>
        </w:rPr>
      </w:pPr>
    </w:p>
    <w:p>
      <w:pPr>
        <w:adjustRightInd w:val="0"/>
        <w:snapToGrid w:val="0"/>
        <w:ind w:firstLine="315" w:firstLineChars="150"/>
        <w:rPr>
          <w:rFonts w:ascii="楷体" w:hAnsi="楷体" w:eastAsia="楷体"/>
        </w:rPr>
      </w:pPr>
      <w:r>
        <w:rPr>
          <w:rFonts w:hint="eastAsia" w:ascii="楷体" w:hAnsi="楷体" w:eastAsia="楷体"/>
        </w:rPr>
        <w:t>新增</w:t>
      </w:r>
      <w:r>
        <w:rPr>
          <w:rFonts w:ascii="楷体" w:hAnsi="楷体" w:eastAsia="楷体"/>
        </w:rPr>
        <w:t>6</w:t>
      </w:r>
      <w:r>
        <w:rPr>
          <w:rFonts w:hint="eastAsia" w:ascii="楷体" w:hAnsi="楷体" w:eastAsia="楷体"/>
        </w:rPr>
        <w:t>如下：</w:t>
      </w:r>
    </w:p>
    <w:p>
      <w:pPr>
        <w:adjustRightInd w:val="0"/>
        <w:snapToGrid w:val="0"/>
        <w:ind w:firstLine="315" w:firstLineChars="150"/>
        <w:rPr>
          <w:rFonts w:ascii="宋体" w:hAnsi="宋体"/>
          <w:color w:val="FF0000"/>
          <w:u w:val="single"/>
        </w:rPr>
      </w:pPr>
      <w:r>
        <w:rPr>
          <w:rFonts w:hint="eastAsia" w:ascii="宋体" w:hAnsi="宋体"/>
        </w:rPr>
        <w:t>“</w:t>
      </w:r>
      <w:r>
        <w:rPr>
          <w:rFonts w:ascii="Times New Roman" w:hAnsi="Times New Roman" w:cs="Times New Roman"/>
          <w:color w:val="FF0000"/>
          <w:u w:val="single"/>
        </w:rPr>
        <w:t>6  尽管有本条5的要求，任何港口国检查可检查船舶是否按照本附则第28条</w:t>
      </w:r>
      <w:r>
        <w:rPr>
          <w:rFonts w:hint="eastAsia" w:ascii="宋体" w:hAnsi="宋体"/>
          <w:color w:val="FF0000"/>
          <w:u w:val="single"/>
        </w:rPr>
        <w:t>实施了船舶能效管理计划。</w:t>
      </w:r>
      <w:r>
        <w:rPr>
          <w:rFonts w:hint="eastAsia" w:ascii="宋体" w:hAnsi="宋体"/>
        </w:rPr>
        <w:t>”</w:t>
      </w:r>
    </w:p>
    <w:p>
      <w:pPr>
        <w:adjustRightInd w:val="0"/>
        <w:snapToGrid w:val="0"/>
        <w:ind w:firstLine="420" w:firstLineChars="200"/>
        <w:rPr>
          <w:rFonts w:ascii="宋体" w:hAnsi="宋体"/>
        </w:rPr>
      </w:pPr>
    </w:p>
    <w:p>
      <w:pPr>
        <w:adjustRightInd w:val="0"/>
        <w:snapToGrid w:val="0"/>
        <w:rPr>
          <w:rFonts w:ascii="宋体" w:hAnsi="宋体"/>
        </w:rPr>
      </w:pPr>
    </w:p>
    <w:p>
      <w:pPr>
        <w:pStyle w:val="36"/>
        <w:rPr>
          <w:rFonts w:hint="default" w:ascii="Times New Roman" w:hAnsi="Times New Roman"/>
        </w:rPr>
      </w:pPr>
      <w:bookmarkStart w:id="78" w:name="_Toc15069"/>
      <w:bookmarkStart w:id="79" w:name="OLE_LINK6"/>
      <w:r>
        <w:rPr>
          <w:rFonts w:ascii="Times New Roman" w:hAnsi="Times New Roman"/>
        </w:rPr>
        <w:t>III  船舶排放控制要求</w:t>
      </w:r>
      <w:bookmarkEnd w:id="78"/>
    </w:p>
    <w:bookmarkEnd w:id="79"/>
    <w:p>
      <w:pPr>
        <w:adjustRightInd w:val="0"/>
        <w:snapToGrid w:val="0"/>
        <w:spacing w:line="360" w:lineRule="auto"/>
        <w:ind w:firstLine="480" w:firstLineChars="200"/>
        <w:rPr>
          <w:rFonts w:ascii="宋体" w:hAnsi="宋体"/>
          <w:sz w:val="24"/>
        </w:rPr>
      </w:pPr>
    </w:p>
    <w:p>
      <w:pPr>
        <w:pStyle w:val="10"/>
        <w:adjustRightInd w:val="0"/>
        <w:snapToGrid w:val="0"/>
        <w:jc w:val="center"/>
        <w:outlineLvl w:val="3"/>
        <w:rPr>
          <w:rFonts w:ascii="Times New Roman" w:hAnsi="Times New Roman" w:eastAsia="黑体"/>
          <w:bCs/>
        </w:rPr>
      </w:pPr>
      <w:bookmarkStart w:id="80" w:name="_Toc31012"/>
      <w:r>
        <w:rPr>
          <w:rFonts w:hint="eastAsia" w:ascii="Times New Roman" w:hAnsi="Times New Roman" w:eastAsia="黑体"/>
          <w:bCs/>
        </w:rPr>
        <w:t>第12条  消耗臭氧物质</w:t>
      </w:r>
      <w:bookmarkEnd w:id="80"/>
    </w:p>
    <w:p>
      <w:pPr>
        <w:adjustRightInd w:val="0"/>
        <w:snapToGrid w:val="0"/>
        <w:ind w:firstLine="480" w:firstLineChars="200"/>
        <w:rPr>
          <w:rFonts w:ascii="宋体" w:hAnsi="宋体"/>
          <w:sz w:val="24"/>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5</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5  受第6.1条约束</w:t>
      </w:r>
      <w:r>
        <w:rPr>
          <w:rFonts w:ascii="宋体" w:hAnsi="宋体"/>
        </w:rPr>
        <w:t>的每艘船舶应保存一份含消耗臭氧物质的设备清单</w:t>
      </w:r>
      <w:r>
        <w:rPr>
          <w:rStyle w:val="33"/>
          <w:rFonts w:hAnsi="宋体" w:cs="宋体"/>
          <w:color w:val="FF0000"/>
          <w:u w:val="single"/>
        </w:rPr>
        <w:footnoteReference w:id="15"/>
      </w:r>
      <w:r>
        <w:rPr>
          <w:rFonts w:ascii="宋体" w:hAnsi="宋体"/>
        </w:rPr>
        <w:t>。</w:t>
      </w:r>
      <w:r>
        <w:rPr>
          <w:rFonts w:hint="eastAsia" w:ascii="宋体" w:hAnsi="宋体"/>
        </w:rPr>
        <w:t>”</w:t>
      </w:r>
    </w:p>
    <w:p>
      <w:pPr>
        <w:adjustRightInd w:val="0"/>
        <w:snapToGrid w:val="0"/>
        <w:ind w:firstLine="420" w:firstLineChars="200"/>
        <w:rPr>
          <w:rFonts w:ascii="宋体" w:hAnsi="宋体"/>
        </w:rPr>
      </w:pPr>
    </w:p>
    <w:p>
      <w:pPr>
        <w:adjustRightInd w:val="0"/>
        <w:snapToGrid w:val="0"/>
        <w:ind w:firstLine="315" w:firstLineChars="150"/>
        <w:rPr>
          <w:rFonts w:ascii="楷体" w:hAnsi="楷体" w:eastAsia="楷体"/>
        </w:rPr>
      </w:pPr>
      <w:r>
        <w:rPr>
          <w:rFonts w:ascii="楷体" w:hAnsi="楷体" w:eastAsia="楷体"/>
        </w:rPr>
        <w:t>原6改为：</w:t>
      </w:r>
    </w:p>
    <w:p>
      <w:pPr>
        <w:adjustRightInd w:val="0"/>
        <w:snapToGrid w:val="0"/>
        <w:ind w:firstLine="420" w:firstLineChars="200"/>
        <w:rPr>
          <w:rFonts w:ascii="Times New Roman" w:hAnsi="Times New Roman" w:cs="Times New Roman"/>
        </w:rPr>
      </w:pPr>
      <w:r>
        <w:rPr>
          <w:rFonts w:ascii="Times New Roman" w:hAnsi="Times New Roman" w:cs="Times New Roman"/>
        </w:rPr>
        <w:t>“6  设有含消耗臭氧物质的可重新充注系统的受第6.1条约束的每艘船舶，应保存一份《消耗臭氧物质记录簿》。该记录簿可以是经主管机关批准的现有航海日志或电子记录</w:t>
      </w:r>
      <w:r>
        <w:rPr>
          <w:rFonts w:ascii="Times New Roman" w:hAnsi="Times New Roman" w:cs="Times New Roman"/>
          <w:strike/>
          <w:color w:val="FF0000"/>
        </w:rPr>
        <w:t>系统</w:t>
      </w:r>
      <w:r>
        <w:rPr>
          <w:rFonts w:ascii="Times New Roman" w:hAnsi="Times New Roman" w:cs="Times New Roman"/>
          <w:color w:val="FF0000"/>
          <w:u w:val="single"/>
        </w:rPr>
        <w:t>簿</w:t>
      </w:r>
      <w:r>
        <w:rPr>
          <w:rStyle w:val="33"/>
          <w:rFonts w:ascii="Times New Roman" w:hAnsi="Times New Roman" w:cs="Times New Roman"/>
          <w:color w:val="FF0000"/>
          <w:u w:val="single"/>
        </w:rPr>
        <w:footnoteReference w:id="16"/>
      </w:r>
      <w:r>
        <w:rPr>
          <w:rFonts w:ascii="Times New Roman" w:hAnsi="Times New Roman" w:cs="Times New Roman"/>
        </w:rPr>
        <w:t>的一部分。</w:t>
      </w:r>
      <w:r>
        <w:rPr>
          <w:rFonts w:ascii="Times New Roman" w:hAnsi="Times New Roman" w:cs="Times New Roman"/>
          <w:color w:val="FF0000"/>
          <w:szCs w:val="21"/>
          <w:u w:val="single"/>
        </w:rPr>
        <w:t>经MEPC.176(58)号决议通过的12.6所述的电子记录系统，应被视为电子记录簿，条件是该电子记录系统由主管机关在2020年10月1日或以后但不迟于2025年10月1日进行的第一次国际防止空气污染(IAPP)证书换证检验时或以前批准，同时考虑到国际海事组织制定的指南</w:t>
      </w:r>
      <w:r>
        <w:rPr>
          <w:rStyle w:val="33"/>
          <w:rFonts w:ascii="Times New Roman" w:hAnsi="Times New Roman" w:cs="Times New Roman"/>
          <w:color w:val="FF0000"/>
          <w:szCs w:val="21"/>
          <w:u w:val="single"/>
        </w:rPr>
        <w:footnoteReference w:id="17"/>
      </w:r>
      <w:r>
        <w:rPr>
          <w:rFonts w:ascii="Times New Roman" w:hAnsi="Times New Roman" w:cs="Times New Roman"/>
          <w:color w:val="FF0000"/>
          <w:szCs w:val="21"/>
          <w:u w:val="single"/>
        </w:rPr>
        <w:t>。</w:t>
      </w:r>
      <w:r>
        <w:rPr>
          <w:rFonts w:ascii="Times New Roman" w:hAnsi="Times New Roman" w:cs="Times New Roman"/>
          <w:szCs w:val="21"/>
        </w:rPr>
        <w:t>”</w:t>
      </w:r>
    </w:p>
    <w:p>
      <w:pPr>
        <w:adjustRightInd w:val="0"/>
        <w:snapToGrid w:val="0"/>
        <w:ind w:firstLine="420" w:firstLineChars="200"/>
        <w:rPr>
          <w:rFonts w:ascii="楷体" w:hAnsi="楷体" w:eastAsia="楷体" w:cs="楷体"/>
          <w:snapToGrid w:val="0"/>
          <w:color w:val="0000FF"/>
          <w:kern w:val="0"/>
          <w:szCs w:val="21"/>
        </w:rPr>
      </w:pPr>
    </w:p>
    <w:p>
      <w:pPr>
        <w:adjustRightInd w:val="0"/>
        <w:snapToGrid w:val="0"/>
        <w:ind w:firstLine="435"/>
        <w:rPr>
          <w:rFonts w:ascii="Times New Roman" w:hAnsi="Times New Roman" w:cs="Times New Roman"/>
          <w:sz w:val="24"/>
        </w:rPr>
      </w:pPr>
    </w:p>
    <w:p>
      <w:pPr>
        <w:pStyle w:val="10"/>
        <w:adjustRightInd w:val="0"/>
        <w:snapToGrid w:val="0"/>
        <w:jc w:val="center"/>
        <w:outlineLvl w:val="3"/>
        <w:rPr>
          <w:rFonts w:ascii="Times New Roman" w:hAnsi="Times New Roman" w:eastAsia="黑体" w:cs="Times New Roman"/>
          <w:bCs/>
        </w:rPr>
      </w:pPr>
      <w:bookmarkStart w:id="81" w:name="_Toc29100"/>
      <w:r>
        <w:rPr>
          <w:rFonts w:ascii="Times New Roman" w:hAnsi="Times New Roman" w:eastAsia="黑体" w:cs="Times New Roman"/>
          <w:bCs/>
        </w:rPr>
        <w:t>第13条  氮氧化物（NOx）</w:t>
      </w:r>
      <w:bookmarkEnd w:id="81"/>
    </w:p>
    <w:p>
      <w:pPr>
        <w:adjustRightInd w:val="0"/>
        <w:snapToGrid w:val="0"/>
        <w:rPr>
          <w:rFonts w:ascii="Times New Roman" w:hAnsi="Times New Roman" w:cs="Times New Roman"/>
          <w:sz w:val="24"/>
        </w:rPr>
      </w:pPr>
    </w:p>
    <w:p>
      <w:pPr>
        <w:adjustRightInd w:val="0"/>
        <w:snapToGrid w:val="0"/>
        <w:ind w:firstLine="315" w:firstLineChars="150"/>
        <w:rPr>
          <w:rFonts w:ascii="楷体" w:hAnsi="楷体" w:eastAsia="楷体"/>
        </w:rPr>
      </w:pPr>
      <w:r>
        <w:rPr>
          <w:rFonts w:ascii="楷体" w:hAnsi="楷体" w:eastAsia="楷体"/>
        </w:rPr>
        <w:t>原5.1改为：</w:t>
      </w:r>
    </w:p>
    <w:p>
      <w:pPr>
        <w:adjustRightInd w:val="0"/>
        <w:snapToGrid w:val="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5.1  本附则第3条适用的同时，</w:t>
      </w:r>
      <w:r>
        <w:rPr>
          <w:rFonts w:ascii="Times New Roman" w:hAnsi="Times New Roman" w:cs="Times New Roman"/>
          <w:kern w:val="0"/>
          <w:szCs w:val="21"/>
        </w:rPr>
        <w:t>在本条6指定的Tier III NOx排放控制区内（</w:t>
      </w:r>
      <w:r>
        <w:rPr>
          <w:rFonts w:ascii="Times New Roman" w:hAnsi="Times New Roman" w:cs="Times New Roman"/>
        </w:rPr>
        <w:t>III级NOx排放控制区）</w:t>
      </w:r>
      <w:r>
        <w:rPr>
          <w:rFonts w:ascii="Times New Roman" w:hAnsi="Times New Roman" w:cs="Times New Roman"/>
          <w:kern w:val="0"/>
          <w:szCs w:val="21"/>
        </w:rPr>
        <w:t>，对船上安装的柴油机</w:t>
      </w:r>
      <w:r>
        <w:rPr>
          <w:rFonts w:ascii="Times New Roman" w:hAnsi="Times New Roman" w:cs="Times New Roman"/>
          <w:color w:val="FF0000"/>
          <w:kern w:val="0"/>
          <w:szCs w:val="21"/>
          <w:u w:val="single"/>
        </w:rPr>
        <w:t>，除非满足下列条件，否则应禁止使用</w:t>
      </w:r>
      <w:r>
        <w:rPr>
          <w:rFonts w:ascii="Times New Roman" w:hAnsi="Times New Roman" w:cs="Times New Roman"/>
        </w:rPr>
        <w:t>：</w:t>
      </w:r>
      <w:r>
        <w:rPr>
          <w:rFonts w:hint="eastAsia" w:ascii="Times New Roman" w:hAnsi="Times New Roman" w:cs="Times New Roman"/>
        </w:rPr>
        <w:t>”</w:t>
      </w:r>
    </w:p>
    <w:p>
      <w:pPr>
        <w:adjustRightInd w:val="0"/>
        <w:snapToGrid w:val="0"/>
        <w:ind w:firstLine="420" w:firstLineChars="200"/>
        <w:rPr>
          <w:rFonts w:ascii="Times New Roman" w:hAnsi="Times New Roman" w:cs="Times New Roman"/>
        </w:rPr>
      </w:pPr>
    </w:p>
    <w:p>
      <w:pPr>
        <w:adjustRightInd w:val="0"/>
        <w:snapToGrid w:val="0"/>
        <w:ind w:firstLine="315" w:firstLineChars="150"/>
        <w:rPr>
          <w:rFonts w:ascii="楷体" w:hAnsi="楷体" w:eastAsia="楷体"/>
        </w:rPr>
      </w:pPr>
      <w:r>
        <w:rPr>
          <w:rFonts w:ascii="楷体" w:hAnsi="楷体" w:eastAsia="楷体"/>
        </w:rPr>
        <w:t>原5.1.1改为：</w:t>
      </w:r>
    </w:p>
    <w:p>
      <w:pPr>
        <w:adjustRightInd w:val="0"/>
        <w:snapToGrid w:val="0"/>
        <w:ind w:left="945" w:leftChars="300" w:hanging="315" w:hangingChars="15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.1  除非该柴油机NO</w:t>
      </w:r>
      <w:r>
        <w:rPr>
          <w:rFonts w:ascii="Times New Roman" w:hAnsi="Times New Roman" w:cs="Times New Roman"/>
          <w:vertAlign w:val="subscript"/>
        </w:rPr>
        <w:t>X</w:t>
      </w:r>
      <w:r>
        <w:rPr>
          <w:rFonts w:ascii="Times New Roman" w:hAnsi="Times New Roman" w:cs="Times New Roman"/>
        </w:rPr>
        <w:t>排放量(按NO</w:t>
      </w:r>
      <w:r>
        <w:rPr>
          <w:rFonts w:ascii="Times New Roman" w:hAnsi="Times New Roman" w:cs="Times New Roman"/>
          <w:vertAlign w:val="subscript"/>
        </w:rPr>
        <w:t>2</w:t>
      </w:r>
      <w:r>
        <w:rPr>
          <w:rFonts w:ascii="Times New Roman" w:hAnsi="Times New Roman" w:cs="Times New Roman"/>
        </w:rPr>
        <w:t>总加权排放量计算)在下列极限值内，其中</w:t>
      </w:r>
      <w:r>
        <w:rPr>
          <w:rFonts w:ascii="Times New Roman" w:hAnsi="Times New Roman" w:cs="Times New Roman"/>
          <w:i/>
        </w:rPr>
        <w:t>n</w:t>
      </w:r>
      <w:r>
        <w:rPr>
          <w:rFonts w:ascii="Times New Roman" w:hAnsi="Times New Roman" w:cs="Times New Roman"/>
        </w:rPr>
        <w:t>为发动机额定转速（每分钟曲轴转速）</w:t>
      </w:r>
      <w:r>
        <w:rPr>
          <w:rFonts w:ascii="Times New Roman" w:hAnsi="Times New Roman" w:cs="Times New Roman"/>
          <w:strike/>
          <w:color w:val="FF0000"/>
        </w:rPr>
        <w:t>，否则应禁止使用</w:t>
      </w:r>
      <w:r>
        <w:rPr>
          <w:rFonts w:ascii="Times New Roman" w:hAnsi="Times New Roman" w:cs="Times New Roman"/>
        </w:rPr>
        <w:t>：</w:t>
      </w:r>
      <w:r>
        <w:rPr>
          <w:rFonts w:hint="eastAsia" w:ascii="Times New Roman" w:hAnsi="Times New Roman" w:cs="Times New Roman"/>
        </w:rPr>
        <w:t>”</w:t>
      </w:r>
    </w:p>
    <w:p>
      <w:pPr>
        <w:autoSpaceDE w:val="0"/>
        <w:autoSpaceDN w:val="0"/>
        <w:adjustRightInd w:val="0"/>
        <w:snapToGrid w:val="0"/>
        <w:ind w:firstLine="420" w:firstLineChars="200"/>
        <w:jc w:val="left"/>
        <w:rPr>
          <w:rFonts w:ascii="Times New Roman" w:hAnsi="Times New Roman" w:cs="Times New Roman"/>
        </w:rPr>
      </w:pPr>
    </w:p>
    <w:p>
      <w:pPr>
        <w:adjustRightInd w:val="0"/>
        <w:snapToGrid w:val="0"/>
        <w:ind w:firstLine="315" w:firstLineChars="150"/>
        <w:rPr>
          <w:rFonts w:ascii="楷体" w:hAnsi="楷体" w:eastAsia="楷体"/>
        </w:rPr>
      </w:pPr>
      <w:r>
        <w:rPr>
          <w:rFonts w:ascii="楷体" w:hAnsi="楷体" w:eastAsia="楷体"/>
        </w:rPr>
        <w:t>原</w:t>
      </w:r>
      <w:r>
        <w:rPr>
          <w:rFonts w:hint="eastAsia" w:ascii="楷体" w:hAnsi="楷体" w:eastAsia="楷体"/>
        </w:rPr>
        <w:t>5.3</w:t>
      </w:r>
      <w:r>
        <w:rPr>
          <w:rFonts w:ascii="楷体" w:hAnsi="楷体" w:eastAsia="楷体"/>
        </w:rPr>
        <w:t>改为：</w:t>
      </w:r>
    </w:p>
    <w:p>
      <w:pPr>
        <w:autoSpaceDE w:val="0"/>
        <w:autoSpaceDN w:val="0"/>
        <w:adjustRightInd w:val="0"/>
        <w:snapToGrid w:val="0"/>
        <w:ind w:firstLine="420" w:firstLineChars="200"/>
        <w:jc w:val="left"/>
        <w:rPr>
          <w:rFonts w:ascii="Times New Roman" w:hAnsi="Times New Roman" w:cs="Times New Roman"/>
        </w:rPr>
      </w:pPr>
      <w:r>
        <w:rPr>
          <w:rFonts w:hint="eastAsia" w:ascii="Times New Roman" w:hAnsi="Times New Roman" w:cs="Times New Roman"/>
        </w:rPr>
        <w:t>“</w:t>
      </w:r>
      <w:r>
        <w:rPr>
          <w:rFonts w:ascii="Times New Roman" w:hAnsi="Times New Roman" w:cs="Times New Roman"/>
        </w:rPr>
        <w:t>5.3  对于核准为II和III级或仅核</w:t>
      </w:r>
      <w:r>
        <w:rPr>
          <w:rFonts w:ascii="Times New Roman" w:hAnsi="Times New Roman" w:cs="Times New Roman"/>
          <w:color w:val="000000" w:themeColor="text1"/>
          <w14:textFill>
            <w14:solidFill>
              <w14:schemeClr w14:val="tx1"/>
            </w14:solidFill>
          </w14:textFill>
        </w:rPr>
        <w:t>准为</w:t>
      </w:r>
      <w:r>
        <w:rPr>
          <w:rFonts w:ascii="Times New Roman" w:hAnsi="Times New Roman" w:cs="Times New Roman"/>
        </w:rPr>
        <w:t>II</w:t>
      </w:r>
      <w:r>
        <w:rPr>
          <w:rFonts w:ascii="Times New Roman" w:hAnsi="Times New Roman" w:cs="Times New Roman"/>
          <w:color w:val="000000" w:themeColor="text1"/>
          <w14:textFill>
            <w14:solidFill>
              <w14:schemeClr w14:val="tx1"/>
            </w14:solidFill>
          </w14:textFill>
        </w:rPr>
        <w:t>级、本条5.1适用的船上安装的船用柴油机，在进入和离开III级NO</w:t>
      </w:r>
      <w:r>
        <w:rPr>
          <w:rFonts w:ascii="Times New Roman" w:hAnsi="Times New Roman" w:cs="Times New Roman"/>
          <w:color w:val="000000" w:themeColor="text1"/>
          <w:vertAlign w:val="subscript"/>
          <w14:textFill>
            <w14:solidFill>
              <w14:schemeClr w14:val="tx1"/>
            </w14:solidFill>
          </w14:textFill>
        </w:rPr>
        <w:t>X</w:t>
      </w:r>
      <w:r>
        <w:rPr>
          <w:rFonts w:ascii="Times New Roman" w:hAnsi="Times New Roman" w:cs="Times New Roman"/>
          <w:color w:val="000000" w:themeColor="text1"/>
          <w14:textFill>
            <w14:solidFill>
              <w14:schemeClr w14:val="tx1"/>
            </w14:solidFill>
          </w14:textFill>
        </w:rPr>
        <w:t>排放控制区时或在此区域</w:t>
      </w:r>
      <w:r>
        <w:rPr>
          <w:rFonts w:ascii="Times New Roman" w:hAnsi="Times New Roman" w:cs="Times New Roman"/>
        </w:rPr>
        <w:t>内开/关状态改变时，应将等级和开/关状态连同日期、时间和船舶位置记录在主管机关规定的航海日志</w:t>
      </w:r>
      <w:r>
        <w:rPr>
          <w:rFonts w:ascii="Times New Roman" w:hAnsi="Times New Roman" w:cs="Times New Roman"/>
          <w:color w:val="FF0000"/>
          <w:u w:val="single"/>
        </w:rPr>
        <w:t>或</w:t>
      </w:r>
      <w:r>
        <w:rPr>
          <w:rFonts w:ascii="Times New Roman" w:hAnsi="Times New Roman" w:cs="Times New Roman"/>
          <w:color w:val="FF0000"/>
          <w:szCs w:val="21"/>
          <w:u w:val="single"/>
        </w:rPr>
        <w:t>电子记录簿</w:t>
      </w:r>
      <w:r>
        <w:rPr>
          <w:rStyle w:val="33"/>
          <w:rFonts w:ascii="Times New Roman" w:hAnsi="Times New Roman" w:cs="Times New Roman"/>
        </w:rPr>
        <w:footnoteReference w:id="18"/>
      </w:r>
      <w:r>
        <w:rPr>
          <w:rFonts w:ascii="Times New Roman" w:hAnsi="Times New Roman" w:cs="Times New Roman"/>
        </w:rPr>
        <w:t>中。</w:t>
      </w:r>
      <w:r>
        <w:rPr>
          <w:rFonts w:hint="eastAsia" w:ascii="Times New Roman" w:hAnsi="Times New Roman" w:cs="Times New Roman"/>
        </w:rPr>
        <w:t>”</w:t>
      </w:r>
    </w:p>
    <w:p>
      <w:pPr>
        <w:widowControl/>
        <w:adjustRightInd w:val="0"/>
        <w:snapToGrid w:val="0"/>
        <w:ind w:left="1134" w:leftChars="338" w:hanging="424" w:hangingChars="202"/>
        <w:rPr>
          <w:rFonts w:ascii="Times New Roman" w:hAnsi="Times New Roman" w:cs="Times New Roman"/>
        </w:rPr>
      </w:pPr>
      <w:r>
        <w:rPr>
          <w:rFonts w:ascii="Times New Roman" w:hAnsi="Times New Roman" w:cs="Times New Roman"/>
        </w:rPr>
        <w:t xml:space="preserve">    </w:t>
      </w:r>
    </w:p>
    <w:p>
      <w:pPr>
        <w:adjustRightInd w:val="0"/>
        <w:snapToGrid w:val="0"/>
        <w:ind w:firstLine="315" w:firstLineChars="150"/>
        <w:rPr>
          <w:rFonts w:ascii="楷体" w:hAnsi="楷体" w:eastAsia="楷体"/>
        </w:rPr>
      </w:pPr>
      <w:r>
        <w:rPr>
          <w:rFonts w:ascii="楷体" w:hAnsi="楷体" w:eastAsia="楷体"/>
        </w:rPr>
        <w:t>原7.1改为：</w:t>
      </w:r>
    </w:p>
    <w:p>
      <w:pPr>
        <w:adjustRightInd w:val="0"/>
        <w:snapToGrid w:val="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7.1  尽管有本条1.1.1的规定，在1990年1月1日或以后但在2000年1月1日以前建造的船舶上安装的、输出功率超过5000 kW且每缸排量在90</w:t>
      </w:r>
      <w:r>
        <w:rPr>
          <w:rFonts w:ascii="Times New Roman" w:hAnsi="Times New Roman" w:cs="Times New Roman"/>
          <w:strike/>
          <w:color w:val="FF0000"/>
        </w:rPr>
        <w:t>升</w:t>
      </w:r>
      <w:r>
        <w:rPr>
          <w:rFonts w:ascii="Times New Roman" w:hAnsi="Times New Roman" w:cs="Times New Roman"/>
          <w:color w:val="FF0000"/>
          <w:u w:val="single"/>
        </w:rPr>
        <w:t>L</w:t>
      </w:r>
      <w:r>
        <w:rPr>
          <w:rFonts w:ascii="Times New Roman" w:hAnsi="Times New Roman" w:cs="Times New Roman"/>
        </w:rPr>
        <w:t>或以上的船用柴油机，应符合7.4所述的排放极限值，但该柴油机的认可方法应已通过缔约国主管机关的核准，且进行核准的主管机关已将核准通知提交国际海事组织。应通过以下方法之一证明符合性：</w:t>
      </w:r>
      <w:r>
        <w:rPr>
          <w:rFonts w:hint="eastAsia" w:ascii="Times New Roman" w:hAnsi="Times New Roman" w:cs="Times New Roman"/>
        </w:rPr>
        <w:t>”</w:t>
      </w:r>
    </w:p>
    <w:p>
      <w:pPr>
        <w:adjustRightInd w:val="0"/>
        <w:snapToGrid w:val="0"/>
        <w:ind w:firstLine="315" w:firstLineChars="150"/>
        <w:rPr>
          <w:rFonts w:ascii="楷体" w:hAnsi="楷体" w:eastAsia="楷体"/>
        </w:rPr>
      </w:pPr>
    </w:p>
    <w:p>
      <w:pPr>
        <w:adjustRightInd w:val="0"/>
        <w:snapToGrid w:val="0"/>
        <w:ind w:firstLine="315" w:firstLineChars="150"/>
        <w:rPr>
          <w:rFonts w:ascii="楷体" w:hAnsi="楷体" w:eastAsia="楷体"/>
        </w:rPr>
      </w:pPr>
      <w:r>
        <w:rPr>
          <w:rFonts w:ascii="楷体" w:hAnsi="楷体" w:eastAsia="楷体"/>
        </w:rPr>
        <w:t>原7.</w:t>
      </w:r>
      <w:r>
        <w:rPr>
          <w:rFonts w:hint="eastAsia" w:ascii="楷体" w:hAnsi="楷体" w:eastAsia="楷体"/>
        </w:rPr>
        <w:t>3</w:t>
      </w:r>
      <w:r>
        <w:rPr>
          <w:rFonts w:ascii="楷体" w:hAnsi="楷体" w:eastAsia="楷体"/>
        </w:rPr>
        <w:t>改为：</w:t>
      </w:r>
    </w:p>
    <w:p>
      <w:pPr>
        <w:adjustRightInd w:val="0"/>
        <w:snapToGrid w:val="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7.3  对于在1990年1月1日或以后但在2000年1月1日以前建造的船舶上安装的输出功率超过5000 kW且每缸排量在90</w:t>
      </w:r>
      <w:r>
        <w:rPr>
          <w:rFonts w:ascii="Times New Roman" w:hAnsi="Times New Roman" w:cs="Times New Roman"/>
          <w:strike/>
          <w:color w:val="FF0000"/>
        </w:rPr>
        <w:t>升</w:t>
      </w:r>
      <w:r>
        <w:rPr>
          <w:rFonts w:ascii="Times New Roman" w:hAnsi="Times New Roman" w:cs="Times New Roman"/>
          <w:color w:val="FF0000"/>
          <w:u w:val="single"/>
        </w:rPr>
        <w:t>L</w:t>
      </w:r>
      <w:r>
        <w:rPr>
          <w:rFonts w:ascii="Times New Roman" w:hAnsi="Times New Roman" w:cs="Times New Roman"/>
        </w:rPr>
        <w:t>或以上的船用柴油机，其《国际防止空气污染证书》，对于适用本条7.1的船用柴油机，应按下列情况之一予以标明：</w:t>
      </w:r>
      <w:r>
        <w:rPr>
          <w:rFonts w:hint="eastAsia" w:ascii="Times New Roman" w:hAnsi="Times New Roman" w:cs="Times New Roman"/>
        </w:rPr>
        <w:t>”</w:t>
      </w:r>
    </w:p>
    <w:p>
      <w:pPr>
        <w:adjustRightInd w:val="0"/>
        <w:snapToGrid w:val="0"/>
        <w:ind w:firstLine="420" w:firstLineChars="200"/>
        <w:rPr>
          <w:rFonts w:ascii="Times New Roman" w:hAnsi="Times New Roman" w:cs="Times New Roman"/>
        </w:rPr>
      </w:pPr>
    </w:p>
    <w:p>
      <w:pPr>
        <w:adjustRightInd w:val="0"/>
        <w:snapToGrid w:val="0"/>
        <w:rPr>
          <w:rFonts w:ascii="宋体" w:hAnsi="宋体"/>
        </w:rPr>
      </w:pPr>
    </w:p>
    <w:p>
      <w:pPr>
        <w:pStyle w:val="10"/>
        <w:adjustRightInd w:val="0"/>
        <w:snapToGrid w:val="0"/>
        <w:jc w:val="center"/>
        <w:outlineLvl w:val="3"/>
        <w:rPr>
          <w:rFonts w:ascii="Times New Roman" w:hAnsi="Times New Roman" w:eastAsia="黑体"/>
          <w:bCs/>
        </w:rPr>
      </w:pPr>
      <w:bookmarkStart w:id="82" w:name="_Toc27436"/>
      <w:r>
        <w:rPr>
          <w:rFonts w:hint="eastAsia" w:ascii="Times New Roman" w:hAnsi="Times New Roman" w:eastAsia="黑体"/>
          <w:bCs/>
        </w:rPr>
        <w:t>第14条  硫氧化物（SO</w:t>
      </w:r>
      <w:r>
        <w:rPr>
          <w:rFonts w:hint="eastAsia" w:ascii="Times New Roman" w:hAnsi="Times New Roman" w:eastAsia="黑体"/>
          <w:bCs/>
          <w:vertAlign w:val="subscript"/>
        </w:rPr>
        <w:t>X</w:t>
      </w:r>
      <w:r>
        <w:rPr>
          <w:rFonts w:hint="eastAsia" w:ascii="Times New Roman" w:hAnsi="Times New Roman" w:eastAsia="黑体"/>
          <w:bCs/>
        </w:rPr>
        <w:t>）和颗粒物质（PM）</w:t>
      </w:r>
      <w:bookmarkEnd w:id="82"/>
    </w:p>
    <w:p>
      <w:pPr>
        <w:adjustRightInd w:val="0"/>
        <w:snapToGrid w:val="0"/>
        <w:rPr>
          <w:rFonts w:ascii="宋体" w:hAnsi="宋体"/>
          <w:sz w:val="24"/>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1</w:t>
      </w:r>
      <w:r>
        <w:rPr>
          <w:rFonts w:hint="eastAsia" w:ascii="楷体" w:hAnsi="楷体" w:eastAsia="楷体"/>
        </w:rPr>
        <w:t>改为：</w:t>
      </w:r>
    </w:p>
    <w:p>
      <w:pPr>
        <w:adjustRightInd w:val="0"/>
        <w:snapToGrid w:val="0"/>
        <w:ind w:firstLine="420" w:firstLineChars="200"/>
        <w:rPr>
          <w:rFonts w:ascii="Times New Roman" w:hAnsi="Times New Roman" w:cs="Times New Roman"/>
          <w:strike/>
          <w:color w:val="FF0000"/>
          <w:u w:val="single"/>
        </w:rPr>
      </w:pPr>
      <w:r>
        <w:rPr>
          <w:rFonts w:hint="eastAsia" w:ascii="宋体" w:hAnsi="宋体"/>
        </w:rPr>
        <w:t>“</w:t>
      </w:r>
      <w:r>
        <w:rPr>
          <w:rFonts w:ascii="Times New Roman" w:hAnsi="Times New Roman" w:cs="Times New Roman"/>
        </w:rPr>
        <w:t xml:space="preserve">1  </w:t>
      </w:r>
      <w:r>
        <w:rPr>
          <w:rFonts w:ascii="Times New Roman" w:hAnsi="Times New Roman" w:cs="Times New Roman"/>
          <w:strike/>
          <w:color w:val="FF0000"/>
        </w:rPr>
        <w:t>船上使用的任何燃油的硫含量不应超过：</w:t>
      </w:r>
      <w:r>
        <w:rPr>
          <w:rFonts w:ascii="Times New Roman" w:hAnsi="Times New Roman" w:cs="Times New Roman"/>
          <w:color w:val="FF0000"/>
          <w:u w:val="single"/>
        </w:rPr>
        <w:t>船上使用的或为使用而载运的任何燃油的硫含量不应超过0.50% m/m。</w:t>
      </w:r>
    </w:p>
    <w:p>
      <w:pPr>
        <w:adjustRightInd w:val="0"/>
        <w:snapToGrid w:val="0"/>
        <w:ind w:left="840" w:leftChars="400"/>
        <w:rPr>
          <w:rFonts w:ascii="Times New Roman" w:hAnsi="Times New Roman" w:cs="Times New Roman"/>
          <w:strike/>
          <w:color w:val="FF0000"/>
        </w:rPr>
      </w:pPr>
      <w:bookmarkStart w:id="83" w:name="_Toc536697234"/>
      <w:r>
        <w:rPr>
          <w:rFonts w:ascii="Times New Roman" w:hAnsi="Times New Roman" w:cs="Times New Roman"/>
          <w:strike/>
          <w:color w:val="FF0000"/>
        </w:rPr>
        <w:t>.1  3.50% m/m， 2020年1月1日前；和</w:t>
      </w:r>
      <w:bookmarkEnd w:id="83"/>
    </w:p>
    <w:p>
      <w:pPr>
        <w:adjustRightInd w:val="0"/>
        <w:snapToGrid w:val="0"/>
        <w:ind w:left="840" w:leftChars="400"/>
        <w:rPr>
          <w:strike/>
          <w:color w:val="FF0000"/>
        </w:rPr>
      </w:pPr>
      <w:r>
        <w:rPr>
          <w:rFonts w:ascii="Times New Roman" w:hAnsi="Times New Roman" w:cs="Times New Roman"/>
          <w:strike/>
          <w:color w:val="FF0000"/>
        </w:rPr>
        <w:t>.2  0.50% m/m</w:t>
      </w:r>
      <w:r>
        <w:rPr>
          <w:rStyle w:val="33"/>
          <w:rFonts w:ascii="Times New Roman" w:hAnsi="Times New Roman" w:cs="Times New Roman"/>
          <w:strike/>
          <w:color w:val="FF0000"/>
        </w:rPr>
        <w:footnoteReference w:id="19"/>
      </w:r>
      <w:r>
        <w:rPr>
          <w:rFonts w:ascii="Times New Roman" w:hAnsi="Times New Roman" w:cs="Times New Roman"/>
          <w:strike/>
          <w:color w:val="FF0000"/>
        </w:rPr>
        <w:t>，2020年1月1日及</w:t>
      </w:r>
      <w:r>
        <w:rPr>
          <w:rFonts w:hint="eastAsia"/>
          <w:strike/>
          <w:color w:val="FF0000"/>
        </w:rPr>
        <w:t>以后。</w:t>
      </w:r>
      <w:r>
        <w:rPr>
          <w:rFonts w:hint="eastAsia" w:ascii="宋体" w:hAnsi="宋体"/>
        </w:rPr>
        <w:t>”</w:t>
      </w:r>
    </w:p>
    <w:p>
      <w:pPr>
        <w:adjustRightInd w:val="0"/>
        <w:snapToGrid w:val="0"/>
        <w:ind w:firstLine="315" w:firstLineChars="150"/>
        <w:rPr>
          <w:rFonts w:ascii="楷体" w:hAnsi="楷体" w:eastAsia="楷体"/>
        </w:rPr>
      </w:pPr>
    </w:p>
    <w:p>
      <w:pPr>
        <w:adjustRightInd w:val="0"/>
        <w:snapToGrid w:val="0"/>
        <w:ind w:firstLine="315" w:firstLineChars="150"/>
        <w:rPr>
          <w:rFonts w:ascii="宋体" w:hAnsi="宋体"/>
        </w:rPr>
      </w:pPr>
      <w:r>
        <w:rPr>
          <w:rFonts w:hint="eastAsia" w:ascii="楷体" w:hAnsi="楷体" w:eastAsia="楷体"/>
        </w:rPr>
        <w:t>删除</w:t>
      </w:r>
      <w:r>
        <w:rPr>
          <w:rFonts w:ascii="Times New Roman" w:hAnsi="Times New Roman" w:cs="Times New Roman"/>
        </w:rPr>
        <w:t>1bis</w:t>
      </w:r>
      <w:r>
        <w:rPr>
          <w:rFonts w:hint="eastAsia" w:ascii="宋体" w:hAnsi="宋体"/>
        </w:rPr>
        <w:t>。</w:t>
      </w:r>
    </w:p>
    <w:p>
      <w:pPr>
        <w:adjustRightInd w:val="0"/>
        <w:snapToGrid w:val="0"/>
        <w:ind w:firstLine="420" w:firstLineChars="200"/>
        <w:rPr>
          <w:rFonts w:ascii="宋体" w:hAnsi="宋体"/>
        </w:rPr>
      </w:pPr>
    </w:p>
    <w:p>
      <w:pPr>
        <w:adjustRightInd w:val="0"/>
        <w:snapToGrid w:val="0"/>
        <w:ind w:firstLine="315" w:firstLineChars="150"/>
        <w:rPr>
          <w:rFonts w:ascii="楷体" w:hAnsi="楷体" w:eastAsia="楷体"/>
        </w:rPr>
      </w:pPr>
      <w:r>
        <w:rPr>
          <w:rFonts w:hint="eastAsia" w:ascii="楷体" w:hAnsi="楷体" w:eastAsia="楷体"/>
        </w:rPr>
        <w:t>原</w:t>
      </w:r>
      <w:r>
        <w:rPr>
          <w:rFonts w:ascii="楷体" w:hAnsi="楷体" w:eastAsia="楷体"/>
        </w:rPr>
        <w:t>5</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5  本条1和4</w:t>
      </w:r>
      <w:r>
        <w:rPr>
          <w:rFonts w:ascii="Times New Roman" w:hAnsi="Times New Roman" w:cs="Times New Roman"/>
          <w:color w:val="FF0000"/>
          <w:u w:val="single"/>
        </w:rPr>
        <w:t>、4bis</w:t>
      </w:r>
      <w:r>
        <w:rPr>
          <w:rFonts w:ascii="Times New Roman" w:hAnsi="Times New Roman" w:cs="Times New Roman"/>
        </w:rPr>
        <w:t>中所述的燃油硫含量应由供应商按本附则第18</w:t>
      </w:r>
      <w:r>
        <w:rPr>
          <w:rFonts w:ascii="宋体" w:hAnsi="宋体"/>
        </w:rPr>
        <w:t>条要求提供文件证明。</w:t>
      </w:r>
      <w:r>
        <w:rPr>
          <w:rFonts w:hint="eastAsia" w:ascii="宋体" w:hAnsi="宋体"/>
        </w:rPr>
        <w:t>”</w:t>
      </w:r>
    </w:p>
    <w:p>
      <w:pPr>
        <w:adjustRightInd w:val="0"/>
        <w:snapToGrid w:val="0"/>
        <w:ind w:firstLine="420" w:firstLineChars="200"/>
        <w:rPr>
          <w:rFonts w:ascii="宋体" w:hAnsi="宋体"/>
        </w:rPr>
      </w:pPr>
    </w:p>
    <w:p>
      <w:pPr>
        <w:adjustRightInd w:val="0"/>
        <w:snapToGrid w:val="0"/>
        <w:ind w:firstLine="420" w:firstLineChars="200"/>
        <w:rPr>
          <w:rFonts w:ascii="Times New Roman" w:hAnsi="Times New Roman" w:cs="Times New Roman"/>
        </w:rPr>
      </w:pPr>
      <w:r>
        <w:rPr>
          <w:rFonts w:ascii="楷体" w:hAnsi="楷体" w:eastAsia="楷体"/>
        </w:rPr>
        <w:t>删除</w:t>
      </w:r>
      <w:r>
        <w:rPr>
          <w:rFonts w:ascii="Times New Roman" w:hAnsi="Times New Roman" w:cs="Times New Roman"/>
        </w:rPr>
        <w:t>5bis。</w:t>
      </w:r>
    </w:p>
    <w:p>
      <w:pPr>
        <w:adjustRightInd w:val="0"/>
        <w:snapToGrid w:val="0"/>
        <w:ind w:firstLine="420" w:firstLineChars="200"/>
        <w:rPr>
          <w:rFonts w:ascii="Times New Roman" w:hAnsi="Times New Roman" w:cs="Times New Roman"/>
        </w:rPr>
      </w:pPr>
    </w:p>
    <w:p>
      <w:pPr>
        <w:adjustRightInd w:val="0"/>
        <w:snapToGrid w:val="0"/>
        <w:ind w:firstLine="420" w:firstLineChars="200"/>
        <w:rPr>
          <w:rFonts w:ascii="宋体" w:hAnsi="宋体"/>
        </w:rPr>
      </w:pPr>
      <w:r>
        <w:rPr>
          <w:rFonts w:ascii="楷体" w:hAnsi="楷体" w:eastAsia="楷体"/>
        </w:rPr>
        <w:t>原</w:t>
      </w:r>
      <w:r>
        <w:rPr>
          <w:rFonts w:ascii="Times New Roman" w:hAnsi="Times New Roman" w:cs="Times New Roman"/>
        </w:rPr>
        <w:t>6，6bis</w:t>
      </w:r>
      <w:r>
        <w:rPr>
          <w:rFonts w:ascii="楷体" w:hAnsi="楷体" w:eastAsia="楷体"/>
        </w:rPr>
        <w:t>改</w:t>
      </w:r>
      <w:r>
        <w:rPr>
          <w:rFonts w:hint="eastAsia" w:ascii="楷体" w:hAnsi="楷体" w:eastAsia="楷体"/>
        </w:rPr>
        <w:t>为：</w:t>
      </w:r>
    </w:p>
    <w:p>
      <w:pPr>
        <w:adjustRightInd w:val="0"/>
        <w:snapToGrid w:val="0"/>
        <w:ind w:firstLine="420" w:firstLineChars="200"/>
        <w:rPr>
          <w:rFonts w:ascii="Times New Roman" w:hAnsi="Times New Roman" w:cs="Times New Roman"/>
        </w:rPr>
      </w:pPr>
      <w:r>
        <w:rPr>
          <w:rFonts w:hint="eastAsia" w:ascii="宋体" w:hAnsi="宋体"/>
        </w:rPr>
        <w:t>“</w:t>
      </w:r>
      <w:r>
        <w:rPr>
          <w:rFonts w:ascii="Times New Roman" w:hAnsi="Times New Roman" w:cs="Times New Roman"/>
        </w:rPr>
        <w:t>6  使用不同的燃油以符合本条4规定并进入或离开本条3所述排放控制区域的船舶，应携有一份书面程序表明燃油转换如何完成，在其进入排放控制区域之前应有足够的时间对燃油供给系统进行全面冲洗，以去除所有硫含量超过本条4所规定的适用硫含量的燃料。在燃油转换作业进入排放控制区域以前完成或离开该区域后开始时，应将每一燃油舱中的低硫燃油的容积以及日期、时间及船舶位置记录在主管机关规定的航海日志</w:t>
      </w:r>
      <w:r>
        <w:rPr>
          <w:rFonts w:ascii="Times New Roman" w:hAnsi="Times New Roman" w:cs="Times New Roman"/>
          <w:color w:val="FF0000"/>
          <w:u w:val="single"/>
        </w:rPr>
        <w:t>或电子记录簿</w:t>
      </w:r>
      <w:r>
        <w:rPr>
          <w:rStyle w:val="33"/>
          <w:rFonts w:ascii="Times New Roman" w:hAnsi="Times New Roman" w:cs="Times New Roman"/>
          <w:color w:val="FF0000"/>
          <w:u w:val="single"/>
        </w:rPr>
        <w:footnoteReference w:id="20"/>
      </w:r>
      <w:r>
        <w:rPr>
          <w:rFonts w:ascii="Times New Roman" w:hAnsi="Times New Roman" w:cs="Times New Roman"/>
        </w:rPr>
        <w:t>中。</w:t>
      </w:r>
    </w:p>
    <w:p>
      <w:pPr>
        <w:adjustRightInd w:val="0"/>
        <w:snapToGrid w:val="0"/>
        <w:ind w:firstLine="420" w:firstLineChars="200"/>
        <w:rPr>
          <w:rFonts w:ascii="宋体" w:hAnsi="宋体"/>
        </w:rPr>
      </w:pPr>
      <w:r>
        <w:rPr>
          <w:rFonts w:ascii="Times New Roman" w:hAnsi="Times New Roman" w:cs="Times New Roman"/>
        </w:rPr>
        <w:t>6bis使用不同的燃油以符合本条4bis规定并进入或离开本章附录XI所述中国船舶大气污染排放控制区的船舶，应携有一份书面程序表明燃油转换如何完成，在其进入中国船舶大气污染排放控制区域之前应有足够的时间对燃油供给系统进行全面冲洗，以去除所有硫含量超过本条4bis所规定的适用硫含量的燃料。在燃油转换作业进入中国船舶大气污染排放控制区域以前完成或离开该区域后开始时，应将</w:t>
      </w:r>
      <w:r>
        <w:rPr>
          <w:rFonts w:hint="eastAsia" w:ascii="宋体" w:hAnsi="宋体"/>
        </w:rPr>
        <w:t>每一燃油舱中的低硫燃油的容积以及日期、时间及船舶位置记录在主管机关规定的航海日志</w:t>
      </w:r>
      <w:r>
        <w:rPr>
          <w:rFonts w:hint="eastAsia"/>
          <w:color w:val="FF0000"/>
          <w:u w:val="single"/>
        </w:rPr>
        <w:t>或电子记录簿</w:t>
      </w:r>
      <w:r>
        <w:rPr>
          <w:rFonts w:hint="eastAsia" w:ascii="宋体" w:hAnsi="宋体"/>
        </w:rPr>
        <w:t>中。”</w:t>
      </w:r>
    </w:p>
    <w:p>
      <w:pPr>
        <w:adjustRightInd w:val="0"/>
        <w:snapToGrid w:val="0"/>
        <w:ind w:firstLine="420" w:firstLineChars="200"/>
        <w:rPr>
          <w:rFonts w:ascii="宋体" w:hAnsi="宋体"/>
          <w:color w:val="FF0000"/>
          <w:u w:val="single"/>
        </w:rPr>
      </w:pPr>
    </w:p>
    <w:p>
      <w:pPr>
        <w:adjustRightInd w:val="0"/>
        <w:snapToGrid w:val="0"/>
        <w:ind w:firstLine="420" w:firstLineChars="200"/>
        <w:rPr>
          <w:rFonts w:ascii="宋体" w:hAnsi="宋体"/>
        </w:rPr>
      </w:pPr>
      <w:r>
        <w:rPr>
          <w:rFonts w:hint="eastAsia" w:ascii="楷体" w:hAnsi="楷体" w:eastAsia="楷体"/>
        </w:rPr>
        <w:t>新</w:t>
      </w:r>
      <w:r>
        <w:rPr>
          <w:rFonts w:ascii="楷体" w:hAnsi="楷体" w:eastAsia="楷体"/>
        </w:rPr>
        <w:t>增</w:t>
      </w:r>
      <w:r>
        <w:rPr>
          <w:rFonts w:ascii="Times New Roman" w:hAnsi="Times New Roman" w:cs="Times New Roman"/>
        </w:rPr>
        <w:t>8~13</w:t>
      </w:r>
      <w:r>
        <w:rPr>
          <w:rFonts w:hint="eastAsia" w:ascii="楷体" w:hAnsi="楷体" w:eastAsia="楷体"/>
        </w:rPr>
        <w:t>如下：</w:t>
      </w:r>
    </w:p>
    <w:p>
      <w:pPr>
        <w:adjustRightInd w:val="0"/>
        <w:snapToGrid w:val="0"/>
        <w:ind w:firstLine="420" w:firstLineChars="200"/>
        <w:rPr>
          <w:rFonts w:ascii="宋体" w:hAnsi="宋体"/>
          <w:b/>
          <w:color w:val="FF0000"/>
          <w:u w:val="single"/>
        </w:rPr>
      </w:pPr>
      <w:r>
        <w:rPr>
          <w:rFonts w:hint="eastAsia" w:ascii="宋体" w:hAnsi="宋体"/>
          <w:bCs/>
        </w:rPr>
        <w:t>“</w:t>
      </w:r>
      <w:r>
        <w:rPr>
          <w:rFonts w:hint="eastAsia" w:ascii="宋体" w:hAnsi="宋体"/>
          <w:b/>
          <w:color w:val="FF0000"/>
          <w:u w:val="single"/>
        </w:rPr>
        <w:t>在用和船上燃油取样与试验</w:t>
      </w:r>
    </w:p>
    <w:p>
      <w:pPr>
        <w:adjustRightInd w:val="0"/>
        <w:snapToGrid w:val="0"/>
        <w:ind w:firstLine="420" w:firstLineChars="200"/>
        <w:rPr>
          <w:rFonts w:ascii="Times New Roman" w:hAnsi="Times New Roman" w:cs="Times New Roman"/>
        </w:rPr>
      </w:pPr>
      <w:r>
        <w:rPr>
          <w:rFonts w:ascii="Times New Roman" w:hAnsi="Times New Roman" w:cs="Times New Roman"/>
        </w:rPr>
        <w:t>8  如缔约国的主管当局要求对在用或船上样本进行分析，应按本附则附录VI规定的验证程序进行，以决定船上在用或为使用而载运的燃油是否符合本条第1或4段的要求。在用样本的提取应考虑本组织制定的指南。</w:t>
      </w:r>
      <w:r>
        <w:rPr>
          <w:rFonts w:ascii="Times New Roman" w:hAnsi="Times New Roman" w:cs="Times New Roman"/>
          <w:vertAlign w:val="superscript"/>
        </w:rPr>
        <w:footnoteReference w:id="21"/>
      </w:r>
      <w:r>
        <w:rPr>
          <w:rFonts w:ascii="Times New Roman" w:hAnsi="Times New Roman" w:cs="Times New Roman"/>
        </w:rPr>
        <w:t>船上样本的提取应考虑本组织制定的指南。</w:t>
      </w:r>
      <w:r>
        <w:rPr>
          <w:rFonts w:ascii="Times New Roman" w:hAnsi="Times New Roman" w:cs="Times New Roman"/>
          <w:vertAlign w:val="superscript"/>
        </w:rPr>
        <w:footnoteReference w:id="22"/>
      </w:r>
    </w:p>
    <w:p>
      <w:pPr>
        <w:adjustRightInd w:val="0"/>
        <w:snapToGrid w:val="0"/>
        <w:ind w:firstLine="420" w:firstLineChars="200"/>
        <w:rPr>
          <w:rFonts w:ascii="宋体" w:hAnsi="宋体"/>
          <w:color w:val="FF0000"/>
          <w:u w:val="single"/>
        </w:rPr>
      </w:pPr>
      <w:r>
        <w:rPr>
          <w:rFonts w:ascii="Times New Roman" w:hAnsi="Times New Roman" w:cs="Times New Roman"/>
        </w:rPr>
        <w:t>9  主管当局代表应在船舶代表在场的情况下，密封样本瓶并标有专门的标识。船舶应有保留复样的选择权</w:t>
      </w:r>
      <w:r>
        <w:rPr>
          <w:rFonts w:hint="eastAsia" w:ascii="宋体" w:hAnsi="宋体"/>
        </w:rPr>
        <w:t>。</w:t>
      </w:r>
    </w:p>
    <w:p>
      <w:pPr>
        <w:adjustRightInd w:val="0"/>
        <w:snapToGrid w:val="0"/>
        <w:ind w:firstLine="420" w:firstLineChars="200"/>
        <w:rPr>
          <w:rFonts w:ascii="宋体" w:hAnsi="宋体"/>
          <w:color w:val="FF0000"/>
          <w:u w:val="single"/>
        </w:rPr>
      </w:pPr>
    </w:p>
    <w:p>
      <w:pPr>
        <w:adjustRightInd w:val="0"/>
        <w:snapToGrid w:val="0"/>
        <w:ind w:firstLine="422" w:firstLineChars="200"/>
        <w:rPr>
          <w:rFonts w:ascii="宋体" w:hAnsi="宋体"/>
          <w:b/>
          <w:color w:val="FF0000"/>
          <w:u w:val="single"/>
        </w:rPr>
      </w:pPr>
      <w:r>
        <w:rPr>
          <w:rFonts w:hint="eastAsia" w:ascii="宋体" w:hAnsi="宋体"/>
          <w:b/>
          <w:color w:val="FF0000"/>
          <w:u w:val="single"/>
        </w:rPr>
        <w:t>在用燃油取样点</w:t>
      </w:r>
    </w:p>
    <w:p>
      <w:pPr>
        <w:adjustRightInd w:val="0"/>
        <w:snapToGrid w:val="0"/>
        <w:ind w:firstLine="420" w:firstLineChars="200"/>
        <w:rPr>
          <w:rFonts w:ascii="Times New Roman" w:hAnsi="Times New Roman" w:cs="Times New Roman"/>
        </w:rPr>
      </w:pPr>
      <w:r>
        <w:rPr>
          <w:rFonts w:ascii="Times New Roman" w:hAnsi="Times New Roman" w:cs="Times New Roman"/>
        </w:rPr>
        <w:t>10  对本附则第5和6条适用的每艘船舶，为了提取船上在用燃油的代表性样本，取样点的安装或指定应考虑本组织制定的指南。</w:t>
      </w:r>
      <w:r>
        <w:rPr>
          <w:rFonts w:ascii="Times New Roman" w:hAnsi="Times New Roman" w:cs="Times New Roman"/>
          <w:vertAlign w:val="superscript"/>
        </w:rPr>
        <w:t>②</w:t>
      </w:r>
    </w:p>
    <w:p>
      <w:pPr>
        <w:adjustRightInd w:val="0"/>
        <w:snapToGrid w:val="0"/>
        <w:ind w:firstLine="420" w:firstLineChars="200"/>
        <w:rPr>
          <w:rFonts w:ascii="Times New Roman" w:hAnsi="Times New Roman" w:cs="Times New Roman"/>
        </w:rPr>
      </w:pPr>
      <w:r>
        <w:rPr>
          <w:rFonts w:ascii="Times New Roman" w:hAnsi="Times New Roman" w:cs="Times New Roman"/>
        </w:rPr>
        <w:t>11  对2022年4月1日以前建造的船舶，10中所提及的取样点的安装或指定应不晚于2023年4月1日或以后本附则第5.1.2条规定的首次换证检验。</w:t>
      </w:r>
    </w:p>
    <w:p>
      <w:pPr>
        <w:adjustRightInd w:val="0"/>
        <w:snapToGrid w:val="0"/>
        <w:ind w:firstLine="420" w:firstLineChars="200"/>
        <w:rPr>
          <w:rFonts w:ascii="Times New Roman" w:hAnsi="Times New Roman" w:cs="Times New Roman"/>
        </w:rPr>
      </w:pPr>
      <w:r>
        <w:rPr>
          <w:rFonts w:ascii="Times New Roman" w:hAnsi="Times New Roman" w:cs="Times New Roman"/>
        </w:rPr>
        <w:t>12  上述10和11的要求不适用于为了推进或船上营运而燃烧低闪点燃料的燃油日用系统。</w:t>
      </w:r>
    </w:p>
    <w:p>
      <w:pPr>
        <w:adjustRightInd w:val="0"/>
        <w:snapToGrid w:val="0"/>
        <w:ind w:firstLine="420" w:firstLineChars="200"/>
        <w:rPr>
          <w:rFonts w:ascii="宋体" w:hAnsi="宋体"/>
        </w:rPr>
      </w:pPr>
      <w:r>
        <w:rPr>
          <w:rFonts w:ascii="Times New Roman" w:hAnsi="Times New Roman" w:cs="Times New Roman"/>
        </w:rPr>
        <w:t>13  缔约国的主管当局应（视情况）利用为提取船上在用燃油代表性样本而安装或指定的取样点，以验证燃油符合本条。缔约国的主管当局提取燃油样本应尽可能的快速有效，不对船舶造成不当延误。</w:t>
      </w:r>
      <w:r>
        <w:rPr>
          <w:rFonts w:hint="eastAsia" w:ascii="宋体" w:hAnsi="宋体"/>
        </w:rPr>
        <w:t>”</w:t>
      </w:r>
    </w:p>
    <w:p>
      <w:pPr>
        <w:adjustRightInd w:val="0"/>
        <w:snapToGrid w:val="0"/>
        <w:ind w:firstLine="420" w:firstLineChars="200"/>
        <w:rPr>
          <w:rFonts w:ascii="Times New Roman" w:hAnsi="Times New Roman" w:eastAsia="楷体" w:cs="Times New Roman"/>
          <w:snapToGrid w:val="0"/>
          <w:color w:val="0000FF"/>
          <w:kern w:val="0"/>
          <w:szCs w:val="21"/>
        </w:rPr>
      </w:pPr>
    </w:p>
    <w:p>
      <w:pPr>
        <w:adjustRightInd w:val="0"/>
        <w:snapToGrid w:val="0"/>
        <w:ind w:firstLine="420" w:firstLineChars="200"/>
        <w:rPr>
          <w:rFonts w:ascii="Times New Roman" w:hAnsi="Times New Roman" w:eastAsia="楷体" w:cs="Times New Roman"/>
          <w:snapToGrid w:val="0"/>
          <w:color w:val="0000FF"/>
          <w:kern w:val="0"/>
          <w:szCs w:val="21"/>
        </w:rPr>
      </w:pPr>
    </w:p>
    <w:p>
      <w:pPr>
        <w:pStyle w:val="10"/>
        <w:adjustRightInd w:val="0"/>
        <w:snapToGrid w:val="0"/>
        <w:jc w:val="center"/>
        <w:outlineLvl w:val="3"/>
        <w:rPr>
          <w:rFonts w:ascii="Times New Roman" w:hAnsi="Times New Roman" w:eastAsia="黑体"/>
          <w:bCs/>
        </w:rPr>
      </w:pPr>
      <w:bookmarkStart w:id="84" w:name="_Toc7638"/>
      <w:r>
        <w:rPr>
          <w:rFonts w:hint="eastAsia" w:ascii="Times New Roman" w:hAnsi="Times New Roman" w:eastAsia="黑体"/>
          <w:bCs/>
        </w:rPr>
        <w:t>第15条  挥发性有机化合物（VOC）</w:t>
      </w:r>
      <w:bookmarkEnd w:id="84"/>
    </w:p>
    <w:p>
      <w:pPr>
        <w:adjustRightInd w:val="0"/>
        <w:snapToGrid w:val="0"/>
        <w:rPr>
          <w:rFonts w:ascii="宋体" w:hAnsi="宋体"/>
          <w:sz w:val="24"/>
        </w:rPr>
      </w:pPr>
    </w:p>
    <w:p>
      <w:pPr>
        <w:ind w:firstLine="397"/>
        <w:rPr>
          <w:rFonts w:ascii="楷体" w:hAnsi="楷体" w:eastAsia="楷体"/>
        </w:rPr>
      </w:pPr>
      <w:r>
        <w:rPr>
          <w:rFonts w:ascii="楷体" w:hAnsi="楷体" w:eastAsia="楷体"/>
        </w:rPr>
        <w:t>新增</w:t>
      </w:r>
      <w:r>
        <w:rPr>
          <w:rFonts w:hint="eastAsia" w:ascii="楷体" w:hAnsi="楷体" w:eastAsia="楷体"/>
        </w:rPr>
        <w:t>15.8条</w:t>
      </w:r>
      <w:r>
        <w:rPr>
          <w:rFonts w:ascii="楷体" w:hAnsi="楷体" w:eastAsia="楷体"/>
        </w:rPr>
        <w:t xml:space="preserve">如下： </w:t>
      </w:r>
    </w:p>
    <w:p>
      <w:pPr>
        <w:ind w:firstLine="210" w:firstLineChars="100"/>
        <w:rPr>
          <w:color w:val="C00000"/>
          <w:szCs w:val="21"/>
          <w:u w:val="single"/>
        </w:rPr>
      </w:pPr>
      <w:r>
        <w:rPr>
          <w:rFonts w:hint="eastAsia"/>
        </w:rPr>
        <w:t>“</w:t>
      </w:r>
      <w:r>
        <w:rPr>
          <w:rFonts w:hint="eastAsia"/>
          <w:color w:val="FF0000"/>
          <w:szCs w:val="21"/>
          <w:u w:val="single"/>
        </w:rPr>
        <w:t>8  自本法规修改通报施行之日及以后建造的150总吨及以上的油船（详见2.3.3条定义），应满足如下要求：</w:t>
      </w:r>
    </w:p>
    <w:p>
      <w:pPr>
        <w:ind w:firstLine="630" w:firstLineChars="300"/>
        <w:rPr>
          <w:szCs w:val="21"/>
        </w:rPr>
      </w:pPr>
      <w:r>
        <w:rPr>
          <w:rFonts w:hint="eastAsia"/>
          <w:szCs w:val="21"/>
        </w:rPr>
        <w:t>.1  油船应设置密闭油气收集系统和惰性气体系统。</w:t>
      </w:r>
    </w:p>
    <w:p>
      <w:pPr>
        <w:ind w:firstLine="630" w:firstLineChars="300"/>
        <w:rPr>
          <w:szCs w:val="21"/>
        </w:rPr>
      </w:pPr>
      <w:r>
        <w:rPr>
          <w:rFonts w:hint="eastAsia"/>
          <w:szCs w:val="21"/>
        </w:rPr>
        <w:t>.2  油船油气收集系统应将向油船输油时产生的油气密闭送入油气处理装置。</w:t>
      </w:r>
    </w:p>
    <w:p>
      <w:pPr>
        <w:ind w:firstLine="630" w:firstLineChars="300"/>
        <w:rPr>
          <w:szCs w:val="21"/>
        </w:rPr>
      </w:pPr>
      <w:r>
        <w:rPr>
          <w:rFonts w:hint="eastAsia"/>
          <w:szCs w:val="21"/>
        </w:rPr>
        <w:t>.3  油船应在每个油舱设置独立的透气管线，每个透气管出口应安装一个压力/真空阀。</w:t>
      </w:r>
    </w:p>
    <w:p>
      <w:pPr>
        <w:ind w:firstLine="630" w:firstLineChars="300"/>
        <w:rPr>
          <w:szCs w:val="21"/>
        </w:rPr>
      </w:pPr>
      <w:r>
        <w:rPr>
          <w:rFonts w:hint="eastAsia"/>
          <w:szCs w:val="21"/>
        </w:rPr>
        <w:t>.4  油船运输过程中应保证油品和油气不泄漏。</w:t>
      </w:r>
    </w:p>
    <w:p>
      <w:pPr>
        <w:ind w:firstLine="630" w:firstLineChars="300"/>
        <w:rPr>
          <w:szCs w:val="21"/>
        </w:rPr>
      </w:pPr>
      <w:r>
        <w:rPr>
          <w:rFonts w:hint="eastAsia"/>
          <w:szCs w:val="21"/>
        </w:rPr>
        <w:t>.5  油船应采用封闭式监测系统测量油舱液位、油气压力和温度。</w:t>
      </w:r>
    </w:p>
    <w:p>
      <w:pPr>
        <w:ind w:firstLine="630" w:firstLineChars="300"/>
        <w:rPr>
          <w:szCs w:val="21"/>
        </w:rPr>
      </w:pPr>
      <w:r>
        <w:rPr>
          <w:rFonts w:hint="eastAsia"/>
          <w:szCs w:val="21"/>
        </w:rPr>
        <w:t>.6  采用红外摄像方式检测油船油气密封点时，不应有油气泄漏。</w:t>
      </w:r>
    </w:p>
    <w:p>
      <w:pPr>
        <w:ind w:firstLine="630" w:firstLineChars="300"/>
        <w:rPr>
          <w:szCs w:val="21"/>
        </w:rPr>
      </w:pPr>
      <w:r>
        <w:rPr>
          <w:rFonts w:hint="eastAsia"/>
          <w:szCs w:val="21"/>
        </w:rPr>
        <w:t>.7  油船油气密封点泄漏检测值不应超过 500μmol/mol。</w:t>
      </w:r>
    </w:p>
    <w:p>
      <w:pPr>
        <w:ind w:left="1058" w:leftChars="300" w:hanging="428" w:hangingChars="204"/>
        <w:rPr>
          <w:szCs w:val="21"/>
        </w:rPr>
      </w:pPr>
      <w:r>
        <w:rPr>
          <w:rFonts w:hint="eastAsia"/>
        </w:rPr>
        <w:t>.8  采用氢火焰离子化检测仪（以甲烷或丙烷为校准气体）对油船油气密封点进行检测，监测采样和测定方法按HJ 733《泄漏和敞开液面排放的挥发性有机物检测技术导则</w:t>
      </w:r>
      <w:r>
        <w:rPr>
          <w:rFonts w:hint="eastAsia"/>
          <w:szCs w:val="21"/>
        </w:rPr>
        <w:t>》的规定执行。</w:t>
      </w:r>
    </w:p>
    <w:p>
      <w:pPr>
        <w:ind w:left="1058" w:leftChars="300" w:hanging="428" w:hangingChars="204"/>
        <w:rPr>
          <w:szCs w:val="21"/>
        </w:rPr>
      </w:pPr>
      <w:r>
        <w:rPr>
          <w:rFonts w:hint="eastAsia"/>
          <w:szCs w:val="21"/>
        </w:rPr>
        <w:t>.9  每年至少对油船油气密封点开展两次检测，两次检测时间间隔大于3个月，并在船上保存相关检测记录。”</w:t>
      </w:r>
    </w:p>
    <w:p>
      <w:pPr>
        <w:ind w:firstLine="397"/>
        <w:rPr>
          <w:rFonts w:eastAsia="宋体"/>
          <w:color w:val="000000"/>
          <w:szCs w:val="21"/>
        </w:rPr>
      </w:pPr>
      <w:r>
        <w:rPr>
          <w:rFonts w:hint="eastAsia"/>
          <w:color w:val="000000"/>
          <w:szCs w:val="21"/>
        </w:rPr>
        <w:t xml:space="preserve"> </w:t>
      </w:r>
    </w:p>
    <w:p>
      <w:pPr>
        <w:ind w:firstLine="397"/>
        <w:rPr>
          <w:rFonts w:ascii="楷体" w:hAnsi="楷体" w:eastAsia="楷体"/>
        </w:rPr>
      </w:pPr>
      <w:r>
        <w:rPr>
          <w:rFonts w:ascii="楷体" w:hAnsi="楷体" w:eastAsia="楷体"/>
        </w:rPr>
        <w:t>新增</w:t>
      </w:r>
      <w:r>
        <w:rPr>
          <w:rFonts w:hint="eastAsia" w:ascii="楷体" w:hAnsi="楷体" w:eastAsia="楷体"/>
        </w:rPr>
        <w:t>15.9条</w:t>
      </w:r>
      <w:r>
        <w:rPr>
          <w:rFonts w:ascii="楷体" w:hAnsi="楷体" w:eastAsia="楷体"/>
        </w:rPr>
        <w:t>如下：</w:t>
      </w:r>
    </w:p>
    <w:p>
      <w:pPr>
        <w:ind w:firstLine="210" w:firstLineChars="100"/>
      </w:pPr>
      <w:r>
        <w:rPr>
          <w:rFonts w:hint="eastAsia"/>
        </w:rPr>
        <w:t>“</w:t>
      </w:r>
      <w:r>
        <w:rPr>
          <w:rFonts w:hint="eastAsia"/>
          <w:color w:val="FF0000"/>
          <w:szCs w:val="21"/>
          <w:u w:val="single"/>
        </w:rPr>
        <w:t>9  现有8000总吨及以上的油船（详见2.3.3条定义）自2024年1月1日起实施第15.8条的要求。</w:t>
      </w:r>
      <w:r>
        <w:rPr>
          <w:rFonts w:hint="eastAsia"/>
        </w:rPr>
        <w:t>”</w:t>
      </w:r>
    </w:p>
    <w:p>
      <w:pPr>
        <w:ind w:firstLine="210" w:firstLineChars="100"/>
        <w:rPr>
          <w:color w:val="000000"/>
          <w:szCs w:val="21"/>
        </w:rPr>
      </w:pPr>
    </w:p>
    <w:p>
      <w:pPr>
        <w:pStyle w:val="10"/>
        <w:adjustRightInd w:val="0"/>
        <w:snapToGrid w:val="0"/>
        <w:rPr>
          <w:rFonts w:ascii="Times New Roman" w:hAnsi="Times New Roman" w:eastAsia="黑体"/>
          <w:bCs/>
        </w:rPr>
      </w:pPr>
    </w:p>
    <w:p>
      <w:pPr>
        <w:pStyle w:val="10"/>
        <w:adjustRightInd w:val="0"/>
        <w:snapToGrid w:val="0"/>
        <w:jc w:val="center"/>
        <w:outlineLvl w:val="3"/>
        <w:rPr>
          <w:rFonts w:ascii="Times New Roman" w:hAnsi="Times New Roman" w:eastAsia="黑体"/>
          <w:bCs/>
        </w:rPr>
      </w:pPr>
      <w:bookmarkStart w:id="85" w:name="_Toc3850"/>
      <w:r>
        <w:rPr>
          <w:rFonts w:hint="eastAsia" w:ascii="Times New Roman" w:hAnsi="Times New Roman" w:eastAsia="黑体"/>
          <w:bCs/>
        </w:rPr>
        <w:t>第16条  船上焚烧</w:t>
      </w:r>
      <w:bookmarkEnd w:id="85"/>
    </w:p>
    <w:p>
      <w:pPr>
        <w:adjustRightInd w:val="0"/>
        <w:snapToGrid w:val="0"/>
        <w:ind w:firstLine="480" w:firstLineChars="200"/>
        <w:rPr>
          <w:rFonts w:ascii="宋体" w:hAnsi="宋体"/>
          <w:sz w:val="24"/>
        </w:rPr>
      </w:pPr>
    </w:p>
    <w:p>
      <w:pPr>
        <w:ind w:firstLine="397"/>
        <w:rPr>
          <w:rFonts w:ascii="楷体" w:hAnsi="楷体" w:eastAsia="楷体"/>
        </w:rPr>
      </w:pPr>
      <w:r>
        <w:rPr>
          <w:rFonts w:hint="eastAsia" w:ascii="楷体" w:hAnsi="楷体" w:eastAsia="楷体"/>
        </w:rPr>
        <w:t>原</w:t>
      </w:r>
      <w:r>
        <w:rPr>
          <w:rFonts w:ascii="楷体" w:hAnsi="楷体" w:eastAsia="楷体"/>
        </w:rPr>
        <w:t>4</w:t>
      </w:r>
      <w:r>
        <w:rPr>
          <w:rFonts w:hint="eastAsia" w:ascii="楷体" w:hAnsi="楷体" w:eastAsia="楷体"/>
        </w:rPr>
        <w:t>改为：</w:t>
      </w:r>
    </w:p>
    <w:p>
      <w:pPr>
        <w:tabs>
          <w:tab w:val="left" w:pos="1246"/>
        </w:tabs>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4  在船舶正常操作过程中产生的污泥和油渣的船上焚烧也可以在主、副</w:t>
      </w:r>
      <w:r>
        <w:rPr>
          <w:rFonts w:ascii="Times New Roman" w:hAnsi="Times New Roman" w:cs="Times New Roman"/>
          <w:strike/>
          <w:color w:val="FF0000"/>
        </w:rPr>
        <w:t>发电站</w:t>
      </w:r>
      <w:r>
        <w:rPr>
          <w:rFonts w:ascii="Times New Roman" w:hAnsi="Times New Roman" w:cs="Times New Roman"/>
          <w:color w:val="FF0000"/>
          <w:u w:val="single"/>
        </w:rPr>
        <w:t>动力装置</w:t>
      </w:r>
      <w:r>
        <w:rPr>
          <w:rFonts w:ascii="Times New Roman" w:hAnsi="Times New Roman" w:cs="Times New Roman"/>
        </w:rPr>
        <w:t>或锅炉内进行，</w:t>
      </w:r>
      <w:r>
        <w:rPr>
          <w:rFonts w:hint="eastAsia" w:ascii="宋体" w:hAnsi="宋体"/>
        </w:rPr>
        <w:t>但在这种情况下，不能在码头、港口和河口内进行。”</w:t>
      </w:r>
    </w:p>
    <w:p>
      <w:pPr>
        <w:adjustRightInd w:val="0"/>
        <w:snapToGrid w:val="0"/>
        <w:ind w:firstLine="420" w:firstLineChars="200"/>
        <w:rPr>
          <w:rFonts w:ascii="宋体" w:hAnsi="宋体"/>
        </w:rPr>
      </w:pPr>
    </w:p>
    <w:p>
      <w:pPr>
        <w:adjustRightInd w:val="0"/>
        <w:snapToGrid w:val="0"/>
        <w:rPr>
          <w:rFonts w:ascii="宋体" w:hAnsi="宋体"/>
          <w:sz w:val="24"/>
        </w:rPr>
      </w:pPr>
    </w:p>
    <w:p>
      <w:pPr>
        <w:pStyle w:val="10"/>
        <w:adjustRightInd w:val="0"/>
        <w:snapToGrid w:val="0"/>
        <w:jc w:val="center"/>
        <w:outlineLvl w:val="3"/>
        <w:rPr>
          <w:rFonts w:hAnsi="宋体"/>
        </w:rPr>
      </w:pPr>
      <w:bookmarkStart w:id="86" w:name="_Toc11205"/>
      <w:r>
        <w:rPr>
          <w:rFonts w:hint="eastAsia" w:ascii="Times New Roman" w:hAnsi="Times New Roman" w:eastAsia="黑体"/>
          <w:bCs/>
        </w:rPr>
        <w:t>第17条  接收设备</w:t>
      </w:r>
      <w:bookmarkEnd w:id="86"/>
    </w:p>
    <w:p>
      <w:pPr>
        <w:adjustRightInd w:val="0"/>
        <w:snapToGrid w:val="0"/>
        <w:ind w:firstLine="420" w:firstLineChars="200"/>
        <w:rPr>
          <w:rFonts w:ascii="宋体" w:hAnsi="宋体"/>
          <w:szCs w:val="21"/>
        </w:rPr>
      </w:pPr>
    </w:p>
    <w:p>
      <w:pPr>
        <w:ind w:firstLine="397"/>
        <w:rPr>
          <w:rFonts w:ascii="楷体" w:hAnsi="楷体" w:eastAsia="楷体"/>
        </w:rPr>
      </w:pPr>
      <w:r>
        <w:rPr>
          <w:rFonts w:hint="eastAsia" w:ascii="楷体" w:hAnsi="楷体" w:eastAsia="楷体"/>
        </w:rPr>
        <w:t>原</w:t>
      </w:r>
      <w:r>
        <w:rPr>
          <w:rFonts w:ascii="楷体" w:hAnsi="楷体" w:eastAsia="楷体"/>
        </w:rPr>
        <w:t>2</w:t>
      </w:r>
      <w:r>
        <w:rPr>
          <w:rFonts w:hint="eastAsia" w:ascii="楷体" w:hAnsi="楷体" w:eastAsia="楷体"/>
        </w:rPr>
        <w:t>改为：</w:t>
      </w:r>
    </w:p>
    <w:p>
      <w:pPr>
        <w:adjustRightInd w:val="0"/>
        <w:snapToGrid w:val="0"/>
        <w:ind w:firstLine="420" w:firstLineChars="200"/>
        <w:rPr>
          <w:rFonts w:ascii="宋体"/>
          <w:szCs w:val="21"/>
        </w:rPr>
      </w:pPr>
      <w:r>
        <w:rPr>
          <w:rFonts w:hint="eastAsia" w:ascii="宋体" w:hAnsi="宋体"/>
          <w:szCs w:val="21"/>
        </w:rPr>
        <w:t>“</w:t>
      </w:r>
      <w:r>
        <w:rPr>
          <w:rFonts w:ascii="Times New Roman" w:hAnsi="Times New Roman" w:cs="Times New Roman"/>
          <w:szCs w:val="21"/>
        </w:rPr>
        <w:t>2  发展中小岛国家</w:t>
      </w:r>
      <w:r>
        <w:rPr>
          <w:rFonts w:ascii="Times New Roman" w:hAnsi="Times New Roman" w:cs="Times New Roman"/>
          <w:szCs w:val="21"/>
          <w:vertAlign w:val="superscript"/>
        </w:rPr>
        <w:footnoteReference w:id="23"/>
      </w:r>
      <w:r>
        <w:rPr>
          <w:rFonts w:ascii="Times New Roman" w:hAnsi="Times New Roman" w:cs="Times New Roman"/>
          <w:szCs w:val="21"/>
        </w:rPr>
        <w:t>可通过区域安排满足本条第1段的</w:t>
      </w:r>
      <w:r>
        <w:rPr>
          <w:rFonts w:hint="eastAsia" w:ascii="宋体" w:hAnsi="宋体"/>
          <w:szCs w:val="21"/>
        </w:rPr>
        <w:t>要求，因为由于这些国家的独特环境，这种安排是满足这些要求的唯一可行的措施。参与区域安排的缔约国应根据</w:t>
      </w:r>
      <w:r>
        <w:rPr>
          <w:rFonts w:ascii="宋体" w:hAnsi="宋体"/>
          <w:szCs w:val="21"/>
        </w:rPr>
        <w:t>IMO</w:t>
      </w:r>
      <w:r>
        <w:rPr>
          <w:rFonts w:hint="eastAsia" w:ascii="宋体" w:hAnsi="宋体"/>
          <w:szCs w:val="21"/>
        </w:rPr>
        <w:t>制定的相关</w:t>
      </w:r>
      <w:r>
        <w:rPr>
          <w:rFonts w:hint="eastAsia" w:ascii="宋体" w:hAnsi="宋体"/>
          <w:strike/>
          <w:color w:val="FF0000"/>
          <w:szCs w:val="21"/>
        </w:rPr>
        <w:t>导则</w:t>
      </w:r>
      <w:r>
        <w:rPr>
          <w:rFonts w:hint="eastAsia" w:ascii="宋体" w:hAnsi="宋体"/>
          <w:color w:val="FF0000"/>
          <w:szCs w:val="21"/>
          <w:u w:val="single"/>
        </w:rPr>
        <w:t>指南</w:t>
      </w:r>
      <w:r>
        <w:rPr>
          <w:rStyle w:val="33"/>
          <w:rFonts w:ascii="宋体" w:hAnsi="宋体"/>
          <w:color w:val="FF0000"/>
          <w:u w:val="single"/>
        </w:rPr>
        <w:footnoteReference w:id="24"/>
      </w:r>
      <w:r>
        <w:rPr>
          <w:rFonts w:hint="eastAsia" w:ascii="宋体" w:hAnsi="宋体"/>
          <w:szCs w:val="21"/>
        </w:rPr>
        <w:t>制定一份区域接收设备计划。</w:t>
      </w:r>
    </w:p>
    <w:p>
      <w:pPr>
        <w:adjustRightInd w:val="0"/>
        <w:snapToGrid w:val="0"/>
        <w:ind w:firstLine="420" w:firstLineChars="200"/>
        <w:rPr>
          <w:rFonts w:ascii="宋体"/>
          <w:szCs w:val="21"/>
        </w:rPr>
      </w:pPr>
      <w:r>
        <w:rPr>
          <w:rFonts w:hint="eastAsia" w:ascii="宋体" w:hAnsi="宋体"/>
          <w:szCs w:val="21"/>
        </w:rPr>
        <w:t>参与区域安排的缔约国政府应咨询</w:t>
      </w:r>
      <w:r>
        <w:rPr>
          <w:rFonts w:ascii="宋体" w:hAnsi="宋体"/>
          <w:szCs w:val="21"/>
        </w:rPr>
        <w:t>IMO</w:t>
      </w:r>
      <w:r>
        <w:rPr>
          <w:rFonts w:hint="eastAsia" w:ascii="宋体" w:hAnsi="宋体"/>
          <w:szCs w:val="21"/>
        </w:rPr>
        <w:t>，向其他缔约国通告：</w:t>
      </w:r>
    </w:p>
    <w:p>
      <w:pPr>
        <w:adjustRightInd w:val="0"/>
        <w:snapToGrid w:val="0"/>
        <w:ind w:left="1057" w:leftChars="304" w:hanging="419"/>
        <w:rPr>
          <w:rFonts w:ascii="Times New Roman" w:hAnsi="Times New Roman" w:cs="Times New Roman"/>
        </w:rPr>
      </w:pPr>
      <w:r>
        <w:rPr>
          <w:rFonts w:ascii="Times New Roman" w:hAnsi="Times New Roman" w:cs="Times New Roman"/>
        </w:rPr>
        <w:t>.1  区域接收设备计划如何</w:t>
      </w:r>
      <w:r>
        <w:rPr>
          <w:rFonts w:ascii="Times New Roman" w:hAnsi="Times New Roman" w:cs="Times New Roman"/>
          <w:strike/>
          <w:color w:val="FF0000"/>
        </w:rPr>
        <w:t>考虑</w:t>
      </w:r>
      <w:r>
        <w:rPr>
          <w:rFonts w:ascii="Times New Roman" w:hAnsi="Times New Roman" w:cs="Times New Roman"/>
          <w:color w:val="FF0000"/>
          <w:u w:val="single"/>
        </w:rPr>
        <w:t>参考</w:t>
      </w:r>
      <w:r>
        <w:rPr>
          <w:rFonts w:ascii="Times New Roman" w:hAnsi="Times New Roman" w:cs="Times New Roman"/>
          <w:strike/>
          <w:color w:val="FF0000"/>
        </w:rPr>
        <w:t>了</w:t>
      </w:r>
      <w:r>
        <w:rPr>
          <w:rFonts w:ascii="Times New Roman" w:hAnsi="Times New Roman" w:cs="Times New Roman"/>
        </w:rPr>
        <w:t>IMO导则；</w:t>
      </w:r>
    </w:p>
    <w:p>
      <w:pPr>
        <w:adjustRightInd w:val="0"/>
        <w:snapToGrid w:val="0"/>
        <w:ind w:left="1057" w:leftChars="304" w:hanging="419"/>
        <w:rPr>
          <w:rFonts w:ascii="Times New Roman" w:hAnsi="Times New Roman" w:cs="Times New Roman"/>
        </w:rPr>
      </w:pPr>
      <w:r>
        <w:rPr>
          <w:rFonts w:ascii="Times New Roman" w:hAnsi="Times New Roman" w:cs="Times New Roman"/>
        </w:rPr>
        <w:t>.2  确定的</w:t>
      </w:r>
      <w:r>
        <w:rPr>
          <w:rFonts w:ascii="Times New Roman" w:hAnsi="Times New Roman" w:cs="Times New Roman"/>
          <w:color w:val="FF0000"/>
          <w:u w:val="single"/>
        </w:rPr>
        <w:t>区域</w:t>
      </w:r>
      <w:r>
        <w:rPr>
          <w:rFonts w:ascii="Times New Roman" w:hAnsi="Times New Roman" w:cs="Times New Roman"/>
        </w:rPr>
        <w:t>船舶废弃物接收中心</w:t>
      </w:r>
      <w:r>
        <w:rPr>
          <w:rFonts w:ascii="Times New Roman" w:hAnsi="Times New Roman" w:cs="Times New Roman"/>
          <w:color w:val="FF0000"/>
          <w:u w:val="single"/>
        </w:rPr>
        <w:t>的详细情况</w:t>
      </w:r>
      <w:r>
        <w:rPr>
          <w:rFonts w:ascii="Times New Roman" w:hAnsi="Times New Roman" w:cs="Times New Roman"/>
        </w:rPr>
        <w:t>；和</w:t>
      </w:r>
    </w:p>
    <w:p>
      <w:pPr>
        <w:adjustRightInd w:val="0"/>
        <w:snapToGrid w:val="0"/>
        <w:ind w:left="1057" w:leftChars="304" w:hanging="419"/>
        <w:rPr>
          <w:rFonts w:ascii="宋体" w:hAnsi="宋体"/>
        </w:rPr>
      </w:pPr>
      <w:r>
        <w:rPr>
          <w:rFonts w:ascii="Times New Roman" w:hAnsi="Times New Roman" w:cs="Times New Roman"/>
        </w:rPr>
        <w:t xml:space="preserve">.3  </w:t>
      </w:r>
      <w:r>
        <w:rPr>
          <w:rFonts w:ascii="Times New Roman" w:hAnsi="Times New Roman" w:cs="Times New Roman"/>
          <w:strike/>
          <w:color w:val="FF0000"/>
        </w:rPr>
        <w:t>仅</w:t>
      </w:r>
      <w:r>
        <w:rPr>
          <w:rFonts w:ascii="Times New Roman" w:hAnsi="Times New Roman" w:cs="Times New Roman"/>
          <w:color w:val="FF0000"/>
        </w:rPr>
        <w:t>有</w:t>
      </w:r>
      <w:r>
        <w:rPr>
          <w:rFonts w:hint="eastAsia" w:ascii="宋体" w:hAnsi="宋体"/>
          <w:strike/>
          <w:color w:val="FF0000"/>
        </w:rPr>
        <w:t>有限设备的港口的细节</w:t>
      </w:r>
      <w:r>
        <w:rPr>
          <w:rFonts w:hint="eastAsia" w:hAnsi="Arial"/>
          <w:color w:val="FF0000"/>
          <w:kern w:val="0"/>
          <w:u w:val="single"/>
        </w:rPr>
        <w:t>仅具备</w:t>
      </w:r>
      <w:r>
        <w:rPr>
          <w:rFonts w:hAnsi="Arial"/>
          <w:color w:val="FF0000"/>
          <w:kern w:val="0"/>
          <w:u w:val="single"/>
        </w:rPr>
        <w:t>有限设施的港口的详细情况</w:t>
      </w:r>
      <w:r>
        <w:rPr>
          <w:rFonts w:hint="eastAsia" w:ascii="宋体" w:hAnsi="宋体"/>
        </w:rPr>
        <w:t>。”</w:t>
      </w:r>
    </w:p>
    <w:p>
      <w:pPr>
        <w:adjustRightInd w:val="0"/>
        <w:snapToGrid w:val="0"/>
        <w:rPr>
          <w:rFonts w:ascii="宋体" w:hAnsi="宋体"/>
        </w:rPr>
      </w:pPr>
    </w:p>
    <w:p>
      <w:pPr>
        <w:adjustRightInd w:val="0"/>
        <w:snapToGrid w:val="0"/>
        <w:ind w:firstLine="420" w:firstLineChars="200"/>
        <w:rPr>
          <w:rFonts w:ascii="宋体" w:hAnsi="宋体"/>
        </w:rPr>
      </w:pPr>
    </w:p>
    <w:p>
      <w:pPr>
        <w:ind w:firstLine="397"/>
        <w:rPr>
          <w:rFonts w:ascii="楷体" w:hAnsi="楷体" w:eastAsia="楷体"/>
        </w:rPr>
      </w:pPr>
      <w:r>
        <w:rPr>
          <w:rFonts w:hint="eastAsia" w:ascii="楷体" w:hAnsi="楷体" w:eastAsia="楷体"/>
        </w:rPr>
        <w:t>原</w:t>
      </w:r>
      <w:r>
        <w:rPr>
          <w:rFonts w:ascii="楷体" w:hAnsi="楷体" w:eastAsia="楷体"/>
        </w:rPr>
        <w:t>3</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3 考虑到国际海事组织将制定的指南</w:t>
      </w:r>
      <w:r>
        <w:rPr>
          <w:rStyle w:val="33"/>
          <w:rFonts w:ascii="Times New Roman" w:hAnsi="Times New Roman" w:cs="Times New Roman"/>
          <w:strike/>
          <w:color w:val="FF0000"/>
        </w:rPr>
        <w:footnoteReference w:id="25"/>
      </w:r>
      <w:r>
        <w:rPr>
          <w:rFonts w:ascii="Times New Roman" w:hAnsi="Times New Roman" w:cs="Times New Roman"/>
        </w:rPr>
        <w:t>，如缔约国的港口或装卸站远离或缺乏管理和处理本条1所</w:t>
      </w:r>
      <w:r>
        <w:rPr>
          <w:rFonts w:hint="eastAsia" w:ascii="宋体" w:hAnsi="宋体"/>
        </w:rPr>
        <w:t>述物质所必需的工业基础设施，而不能接收这些物质，则该缔约国应将所有此类港口或装卸站通知国际海事组织，以使该信息可转发所有缔约国和国际海事组织各成员国，供其参考和采取任何相应的行动。已向国际海事组织提供此类信息的各缔约国应同时将其可提供管理和处理这些物质的接收设备的港口和装卸站通知国际海事组织。”</w:t>
      </w:r>
    </w:p>
    <w:p>
      <w:pPr>
        <w:adjustRightInd w:val="0"/>
        <w:snapToGrid w:val="0"/>
        <w:ind w:firstLine="420" w:firstLineChars="200"/>
        <w:rPr>
          <w:rFonts w:ascii="宋体" w:hAnsi="宋体"/>
        </w:rPr>
      </w:pPr>
    </w:p>
    <w:p>
      <w:pPr>
        <w:adjustRightInd w:val="0"/>
        <w:snapToGrid w:val="0"/>
        <w:rPr>
          <w:rFonts w:ascii="宋体" w:hAnsi="宋体"/>
          <w:sz w:val="24"/>
        </w:rPr>
      </w:pPr>
    </w:p>
    <w:p>
      <w:pPr>
        <w:pStyle w:val="10"/>
        <w:adjustRightInd w:val="0"/>
        <w:snapToGrid w:val="0"/>
        <w:jc w:val="center"/>
        <w:outlineLvl w:val="3"/>
        <w:rPr>
          <w:rFonts w:ascii="Times New Roman" w:hAnsi="Times New Roman" w:eastAsia="黑体"/>
          <w:bCs/>
        </w:rPr>
      </w:pPr>
      <w:bookmarkStart w:id="87" w:name="_Toc8377"/>
      <w:r>
        <w:rPr>
          <w:rFonts w:hint="eastAsia" w:ascii="Times New Roman" w:hAnsi="Times New Roman" w:eastAsia="黑体"/>
          <w:bCs/>
        </w:rPr>
        <w:t>第18条  燃油的提供和质量</w:t>
      </w:r>
      <w:bookmarkEnd w:id="87"/>
    </w:p>
    <w:p>
      <w:pPr>
        <w:adjustRightInd w:val="0"/>
        <w:snapToGrid w:val="0"/>
        <w:rPr>
          <w:rFonts w:ascii="宋体" w:hAnsi="宋体"/>
        </w:rPr>
      </w:pPr>
    </w:p>
    <w:p>
      <w:pPr>
        <w:ind w:firstLine="397"/>
        <w:rPr>
          <w:rFonts w:ascii="楷体" w:hAnsi="楷体" w:eastAsia="楷体"/>
        </w:rPr>
      </w:pPr>
      <w:r>
        <w:rPr>
          <w:rFonts w:hint="eastAsia" w:ascii="楷体" w:hAnsi="楷体" w:eastAsia="楷体"/>
        </w:rPr>
        <w:t>原</w:t>
      </w:r>
      <w:r>
        <w:rPr>
          <w:rFonts w:ascii="楷体" w:hAnsi="楷体" w:eastAsia="楷体"/>
        </w:rPr>
        <w:t>2.3</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2.3  如船舶提供上述2.1规</w:t>
      </w:r>
      <w:r>
        <w:rPr>
          <w:rFonts w:ascii="宋体" w:hAnsi="宋体"/>
        </w:rPr>
        <w:t>定的信息，</w:t>
      </w:r>
      <w:r>
        <w:rPr>
          <w:rFonts w:ascii="宋体" w:hAnsi="宋体"/>
          <w:strike/>
          <w:color w:val="FF0000"/>
        </w:rPr>
        <w:t>缔约国应考虑所有相关情况和提供的关于确定采取相应行动的证据，但不包括采取的控制措施。</w:t>
      </w:r>
      <w:r>
        <w:rPr>
          <w:rFonts w:hint="eastAsia" w:ascii="宋体" w:hAnsi="宋体"/>
          <w:color w:val="FF0000"/>
          <w:u w:val="single"/>
        </w:rPr>
        <w:t>缔约国应考虑所有相关情况和提供的证据，以确定采取相应行动，包括不采取控制措施。</w:t>
      </w:r>
      <w:r>
        <w:rPr>
          <w:rFonts w:hint="eastAsia" w:ascii="宋体" w:hAnsi="宋体"/>
        </w:rPr>
        <w:t>”</w:t>
      </w:r>
    </w:p>
    <w:p>
      <w:pPr>
        <w:adjustRightInd w:val="0"/>
        <w:snapToGrid w:val="0"/>
        <w:rPr>
          <w:rFonts w:ascii="宋体" w:hAnsi="宋体"/>
          <w:b/>
        </w:rPr>
      </w:pPr>
    </w:p>
    <w:p>
      <w:pPr>
        <w:ind w:firstLine="397"/>
        <w:rPr>
          <w:rFonts w:ascii="楷体" w:hAnsi="楷体" w:eastAsia="楷体"/>
        </w:rPr>
      </w:pPr>
      <w:r>
        <w:rPr>
          <w:rFonts w:hint="eastAsia" w:ascii="楷体" w:hAnsi="楷体" w:eastAsia="楷体"/>
        </w:rPr>
        <w:t>原</w:t>
      </w:r>
      <w:r>
        <w:rPr>
          <w:rFonts w:ascii="楷体" w:hAnsi="楷体" w:eastAsia="楷体"/>
        </w:rPr>
        <w:t>3.2.2.1</w:t>
      </w:r>
      <w:r>
        <w:rPr>
          <w:rFonts w:hint="eastAsia" w:ascii="楷体" w:hAnsi="楷体" w:eastAsia="楷体"/>
        </w:rPr>
        <w:t>改为：</w:t>
      </w:r>
    </w:p>
    <w:p>
      <w:pPr>
        <w:adjustRightInd w:val="0"/>
        <w:snapToGrid w:val="0"/>
        <w:ind w:left="1056" w:leftChars="503"/>
        <w:rPr>
          <w:rFonts w:ascii="宋体" w:hAnsi="宋体"/>
        </w:rPr>
      </w:pPr>
      <w:r>
        <w:rPr>
          <w:rFonts w:hint="eastAsia" w:ascii="宋体" w:hAnsi="宋体"/>
        </w:rPr>
        <w:t>“</w:t>
      </w:r>
      <w:r>
        <w:rPr>
          <w:rFonts w:ascii="Times New Roman" w:hAnsi="Times New Roman" w:cs="Times New Roman"/>
        </w:rPr>
        <w:t>.2.1 超过本附则第14</w:t>
      </w:r>
      <w:r>
        <w:rPr>
          <w:rFonts w:ascii="宋体" w:hAnsi="宋体"/>
        </w:rPr>
        <w:t>条中规定的</w:t>
      </w:r>
      <w:r>
        <w:rPr>
          <w:rFonts w:hint="eastAsia" w:ascii="宋体" w:hAnsi="宋体"/>
          <w:color w:val="FF0000"/>
          <w:u w:val="single"/>
        </w:rPr>
        <w:t>适用</w:t>
      </w:r>
      <w:r>
        <w:rPr>
          <w:rFonts w:ascii="宋体" w:hAnsi="宋体"/>
        </w:rPr>
        <w:t>硫含量；</w:t>
      </w:r>
      <w:r>
        <w:rPr>
          <w:rFonts w:hint="eastAsia" w:ascii="宋体" w:hAnsi="宋体"/>
        </w:rPr>
        <w:t>”</w:t>
      </w:r>
    </w:p>
    <w:p>
      <w:pPr>
        <w:adjustRightInd w:val="0"/>
        <w:snapToGrid w:val="0"/>
        <w:ind w:firstLine="420" w:firstLineChars="200"/>
        <w:rPr>
          <w:rFonts w:ascii="宋体" w:hAnsi="宋体"/>
        </w:rPr>
      </w:pPr>
    </w:p>
    <w:p>
      <w:pPr>
        <w:ind w:firstLine="397"/>
        <w:rPr>
          <w:rFonts w:ascii="楷体" w:hAnsi="楷体" w:eastAsia="楷体"/>
        </w:rPr>
      </w:pPr>
      <w:r>
        <w:rPr>
          <w:rFonts w:hint="eastAsia" w:ascii="楷体" w:hAnsi="楷体" w:eastAsia="楷体"/>
        </w:rPr>
        <w:t>原</w:t>
      </w:r>
      <w:r>
        <w:rPr>
          <w:rFonts w:ascii="楷体" w:hAnsi="楷体" w:eastAsia="楷体"/>
        </w:rPr>
        <w:t>6</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6  燃油交付单应存放于船上某一个在任何合理时间随时可供检查的地方</w:t>
      </w:r>
      <w:r>
        <w:rPr>
          <w:rFonts w:ascii="Times New Roman" w:hAnsi="Times New Roman" w:cs="Times New Roman"/>
          <w:strike/>
          <w:color w:val="FF0000"/>
        </w:rPr>
        <w:t>。它</w:t>
      </w:r>
      <w:r>
        <w:rPr>
          <w:rFonts w:ascii="Times New Roman" w:hAnsi="Times New Roman" w:cs="Times New Roman"/>
          <w:color w:val="FF0000"/>
          <w:u w:val="single"/>
        </w:rPr>
        <w:t>，并</w:t>
      </w:r>
      <w:r>
        <w:rPr>
          <w:rFonts w:ascii="Times New Roman" w:hAnsi="Times New Roman" w:cs="Times New Roman"/>
        </w:rPr>
        <w:t>应在燃油交付船上之后保存3</w:t>
      </w:r>
      <w:r>
        <w:rPr>
          <w:rFonts w:ascii="宋体" w:hAnsi="宋体"/>
        </w:rPr>
        <w:t>年。</w:t>
      </w:r>
      <w:r>
        <w:rPr>
          <w:rFonts w:hint="eastAsia" w:ascii="宋体" w:hAnsi="宋体"/>
        </w:rPr>
        <w:t>”</w:t>
      </w:r>
    </w:p>
    <w:p>
      <w:pPr>
        <w:adjustRightInd w:val="0"/>
        <w:snapToGrid w:val="0"/>
        <w:ind w:firstLine="420" w:firstLineChars="200"/>
        <w:rPr>
          <w:rFonts w:ascii="宋体" w:hAnsi="宋体"/>
        </w:rPr>
      </w:pPr>
    </w:p>
    <w:p>
      <w:pPr>
        <w:ind w:firstLine="397"/>
        <w:rPr>
          <w:rFonts w:ascii="楷体" w:hAnsi="楷体" w:eastAsia="楷体"/>
        </w:rPr>
      </w:pPr>
      <w:r>
        <w:rPr>
          <w:rFonts w:hint="eastAsia" w:ascii="楷体" w:hAnsi="楷体" w:eastAsia="楷体"/>
        </w:rPr>
        <w:t>原</w:t>
      </w:r>
      <w:r>
        <w:rPr>
          <w:rFonts w:ascii="楷体" w:hAnsi="楷体" w:eastAsia="楷体"/>
        </w:rPr>
        <w:t>7.2</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7.2  主管当局根据</w:t>
      </w:r>
      <w:r>
        <w:rPr>
          <w:rFonts w:ascii="Times New Roman" w:hAnsi="Times New Roman" w:cs="Times New Roman"/>
          <w:strike/>
          <w:color w:val="FF0000"/>
        </w:rPr>
        <w:t>本项</w:t>
      </w:r>
      <w:r>
        <w:rPr>
          <w:rFonts w:ascii="Times New Roman" w:hAnsi="Times New Roman" w:cs="Times New Roman"/>
          <w:color w:val="FF0000"/>
          <w:u w:val="single"/>
        </w:rPr>
        <w:t>本条7.1</w:t>
      </w:r>
      <w:r>
        <w:rPr>
          <w:rFonts w:ascii="Times New Roman" w:hAnsi="Times New Roman" w:cs="Times New Roman"/>
        </w:rPr>
        <w:t>规定对燃油交付单的检查和制作正确无误的副本应尽速进行，而不对船舶</w:t>
      </w:r>
      <w:r>
        <w:rPr>
          <w:rFonts w:hint="eastAsia" w:ascii="宋体" w:hAnsi="宋体"/>
        </w:rPr>
        <w:t>造成不当延误。”</w:t>
      </w:r>
    </w:p>
    <w:p>
      <w:pPr>
        <w:adjustRightInd w:val="0"/>
        <w:snapToGrid w:val="0"/>
        <w:ind w:firstLine="420" w:firstLineChars="200"/>
        <w:rPr>
          <w:rFonts w:ascii="宋体" w:hAnsi="宋体"/>
        </w:rPr>
      </w:pPr>
    </w:p>
    <w:p>
      <w:pPr>
        <w:ind w:firstLine="397"/>
        <w:rPr>
          <w:rFonts w:ascii="楷体" w:hAnsi="楷体" w:eastAsia="楷体"/>
        </w:rPr>
      </w:pPr>
      <w:r>
        <w:rPr>
          <w:rFonts w:hint="eastAsia" w:ascii="楷体" w:hAnsi="楷体" w:eastAsia="楷体"/>
        </w:rPr>
        <w:t>原</w:t>
      </w:r>
      <w:r>
        <w:rPr>
          <w:rFonts w:ascii="楷体" w:hAnsi="楷体" w:eastAsia="楷体"/>
        </w:rPr>
        <w:t>8.1</w:t>
      </w:r>
      <w:r>
        <w:rPr>
          <w:rFonts w:hint="eastAsia" w:ascii="楷体" w:hAnsi="楷体" w:eastAsia="楷体"/>
        </w:rPr>
        <w:t>改为：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 xml:space="preserve">8.1  </w:t>
      </w:r>
      <w:r>
        <w:rPr>
          <w:rFonts w:hint="eastAsia" w:ascii="宋体" w:hAnsi="宋体"/>
        </w:rPr>
        <w:t>燃油交付单应按国际海事组织制定的指南规定</w:t>
      </w:r>
      <w:r>
        <w:rPr>
          <w:rStyle w:val="33"/>
          <w:rFonts w:hint="eastAsia" w:ascii="宋体" w:hAnsi="宋体"/>
        </w:rPr>
        <w:footnoteReference w:id="26"/>
      </w:r>
      <w:r>
        <w:rPr>
          <w:rFonts w:hint="eastAsia" w:ascii="宋体" w:hAnsi="宋体"/>
        </w:rPr>
        <w:t>附有一份所供燃油的代表样品。该样品应由供应商代表和船长或负责加油作业的</w:t>
      </w:r>
      <w:r>
        <w:rPr>
          <w:rFonts w:hint="eastAsia" w:ascii="宋体" w:hAnsi="宋体"/>
          <w:strike/>
          <w:color w:val="FF0000"/>
        </w:rPr>
        <w:t>官员</w:t>
      </w:r>
      <w:r>
        <w:rPr>
          <w:rFonts w:hint="eastAsia" w:ascii="宋体" w:hAnsi="宋体"/>
          <w:color w:val="FF0000"/>
          <w:u w:val="single"/>
        </w:rPr>
        <w:t>高级船员</w:t>
      </w:r>
      <w:r>
        <w:rPr>
          <w:rFonts w:hint="eastAsia" w:ascii="宋体" w:hAnsi="宋体"/>
        </w:rPr>
        <w:t>在完成加油作业后密封并签署，并应由船方控制直到燃油被基本消耗掉，但无论如何其保存期自加油日期算起应不少于</w:t>
      </w:r>
      <w:r>
        <w:rPr>
          <w:rFonts w:ascii="Times New Roman" w:hAnsi="Times New Roman" w:cs="Times New Roman"/>
        </w:rPr>
        <w:t>12</w:t>
      </w:r>
      <w:r>
        <w:rPr>
          <w:rFonts w:ascii="宋体" w:hAnsi="宋体"/>
        </w:rPr>
        <w:t>个月。</w:t>
      </w:r>
      <w:r>
        <w:rPr>
          <w:rFonts w:hint="eastAsia" w:ascii="宋体" w:hAnsi="宋体"/>
        </w:rPr>
        <w:t>”</w:t>
      </w:r>
    </w:p>
    <w:p>
      <w:pPr>
        <w:adjustRightInd w:val="0"/>
        <w:snapToGrid w:val="0"/>
        <w:ind w:firstLine="420" w:firstLineChars="200"/>
        <w:rPr>
          <w:rFonts w:ascii="宋体" w:hAnsi="宋体"/>
        </w:rPr>
      </w:pPr>
    </w:p>
    <w:p>
      <w:pPr>
        <w:ind w:firstLine="397"/>
        <w:rPr>
          <w:rFonts w:ascii="楷体" w:hAnsi="楷体" w:eastAsia="楷体"/>
        </w:rPr>
      </w:pPr>
      <w:r>
        <w:rPr>
          <w:rFonts w:hint="eastAsia" w:ascii="楷体" w:hAnsi="楷体" w:eastAsia="楷体"/>
        </w:rPr>
        <w:t>原</w:t>
      </w:r>
      <w:r>
        <w:rPr>
          <w:rFonts w:ascii="楷体" w:hAnsi="楷体" w:eastAsia="楷体"/>
        </w:rPr>
        <w:t>8.2改为</w:t>
      </w:r>
      <w:r>
        <w:rPr>
          <w:rFonts w:hint="eastAsia" w:ascii="楷体" w:hAnsi="楷体" w:eastAsia="楷体"/>
        </w:rPr>
        <w:t>：</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8.2</w:t>
      </w:r>
      <w:r>
        <w:rPr>
          <w:rFonts w:ascii="宋体" w:hAnsi="宋体"/>
        </w:rPr>
        <w:t xml:space="preserve">  </w:t>
      </w:r>
      <w:r>
        <w:rPr>
          <w:rFonts w:hint="eastAsia" w:ascii="宋体" w:hAnsi="宋体"/>
        </w:rPr>
        <w:t>如</w:t>
      </w:r>
      <w:r>
        <w:rPr>
          <w:rFonts w:hint="eastAsia" w:ascii="宋体" w:hAnsi="宋体"/>
          <w:strike/>
          <w:color w:val="FF0000"/>
        </w:rPr>
        <w:t>主管机关</w:t>
      </w:r>
      <w:r>
        <w:rPr>
          <w:rFonts w:hint="eastAsia" w:ascii="宋体" w:hAnsi="宋体"/>
          <w:color w:val="FF0000"/>
          <w:u w:val="single"/>
        </w:rPr>
        <w:t>缔约国</w:t>
      </w:r>
      <w:r>
        <w:rPr>
          <w:rFonts w:hint="eastAsia" w:ascii="宋体" w:hAnsi="宋体"/>
        </w:rPr>
        <w:t>要求对代表样品进行分析，则应按附</w:t>
      </w:r>
      <w:r>
        <w:rPr>
          <w:rFonts w:ascii="Times New Roman" w:hAnsi="Times New Roman" w:cs="Times New Roman"/>
        </w:rPr>
        <w:t>录VI</w:t>
      </w:r>
      <w:r>
        <w:rPr>
          <w:rFonts w:ascii="宋体" w:hAnsi="宋体"/>
        </w:rPr>
        <w:t>所述的验证程序确定燃油是否满足本附则的要求。</w:t>
      </w:r>
      <w:r>
        <w:rPr>
          <w:rFonts w:hint="eastAsia" w:ascii="宋体" w:hAnsi="宋体"/>
        </w:rPr>
        <w:t>”</w:t>
      </w:r>
    </w:p>
    <w:p>
      <w:pPr>
        <w:adjustRightInd w:val="0"/>
        <w:snapToGrid w:val="0"/>
        <w:ind w:firstLine="420" w:firstLineChars="200"/>
        <w:rPr>
          <w:rFonts w:ascii="Times New Roman" w:hAnsi="Times New Roman" w:cs="Times New Roman"/>
        </w:rPr>
      </w:pPr>
    </w:p>
    <w:p>
      <w:pPr>
        <w:ind w:firstLine="397"/>
        <w:rPr>
          <w:rFonts w:ascii="楷体" w:hAnsi="楷体" w:eastAsia="楷体"/>
        </w:rPr>
      </w:pPr>
      <w:r>
        <w:rPr>
          <w:rFonts w:ascii="楷体" w:hAnsi="楷体" w:eastAsia="楷体"/>
        </w:rPr>
        <w:t>原11改</w:t>
      </w:r>
      <w:r>
        <w:rPr>
          <w:rFonts w:hint="eastAsia" w:ascii="楷体" w:hAnsi="楷体" w:eastAsia="楷体"/>
        </w:rPr>
        <w:t>为：</w:t>
      </w:r>
    </w:p>
    <w:p>
      <w:pPr>
        <w:adjustRightInd w:val="0"/>
        <w:snapToGrid w:val="0"/>
        <w:ind w:firstLine="420" w:firstLineChars="200"/>
        <w:rPr>
          <w:rFonts w:ascii="宋体" w:hAnsi="宋体"/>
        </w:rPr>
      </w:pPr>
      <w:r>
        <w:rPr>
          <w:rFonts w:hint="eastAsia" w:ascii="宋体" w:hAnsi="宋体"/>
        </w:rPr>
        <w:t>“</w:t>
      </w:r>
      <w:r>
        <w:rPr>
          <w:rFonts w:ascii="Times New Roman" w:hAnsi="Times New Roman" w:cs="Times New Roman"/>
        </w:rPr>
        <w:t>11  对每艘400总吨及以上从事定期营</w:t>
      </w:r>
      <w:r>
        <w:rPr>
          <w:rFonts w:ascii="宋体" w:hAnsi="宋体"/>
        </w:rPr>
        <w:t>运并频繁和定期停靠港口的船舶，主管机关在向相关各国申请和协商后可决定</w:t>
      </w:r>
      <w:r>
        <w:rPr>
          <w:rFonts w:ascii="Times New Roman" w:hAnsi="Times New Roman" w:cs="Times New Roman"/>
        </w:rPr>
        <w:t>，对本条6的符合性可以一种替代方法予以证明，该方法</w:t>
      </w:r>
      <w:r>
        <w:rPr>
          <w:rFonts w:ascii="Times New Roman" w:hAnsi="Times New Roman" w:cs="Times New Roman"/>
          <w:color w:val="FF0000"/>
          <w:u w:val="single"/>
        </w:rPr>
        <w:t>类似证明对本附则第14和18条的符合性</w:t>
      </w:r>
      <w:r>
        <w:rPr>
          <w:rFonts w:ascii="Times New Roman" w:hAnsi="Times New Roman" w:cs="Times New Roman"/>
          <w:strike/>
          <w:color w:val="FF0000"/>
        </w:rPr>
        <w:t>对本附则第14和18</w:t>
      </w:r>
      <w:r>
        <w:rPr>
          <w:rFonts w:ascii="宋体" w:hAnsi="宋体"/>
          <w:strike/>
          <w:color w:val="FF0000"/>
        </w:rPr>
        <w:t>条的符合性给出类似的证明</w:t>
      </w:r>
      <w:r>
        <w:rPr>
          <w:rFonts w:ascii="宋体" w:hAnsi="宋体"/>
        </w:rPr>
        <w:t>。</w:t>
      </w:r>
      <w:r>
        <w:rPr>
          <w:rFonts w:hint="eastAsia" w:ascii="宋体" w:hAnsi="宋体"/>
        </w:rPr>
        <w:t>”</w:t>
      </w:r>
    </w:p>
    <w:p>
      <w:pPr>
        <w:adjustRightInd w:val="0"/>
        <w:snapToGrid w:val="0"/>
        <w:ind w:firstLine="420" w:firstLineChars="200"/>
        <w:rPr>
          <w:rFonts w:ascii="Times New Roman" w:hAnsi="Times New Roman" w:eastAsia="楷体" w:cs="Times New Roman"/>
          <w:snapToGrid w:val="0"/>
          <w:color w:val="0000FF"/>
          <w:kern w:val="0"/>
          <w:szCs w:val="21"/>
        </w:rPr>
      </w:pPr>
    </w:p>
    <w:p>
      <w:pPr>
        <w:adjustRightInd w:val="0"/>
        <w:snapToGrid w:val="0"/>
        <w:spacing w:line="360" w:lineRule="auto"/>
        <w:rPr>
          <w:rFonts w:ascii="宋体" w:hAnsi="宋体"/>
          <w:sz w:val="24"/>
        </w:rPr>
      </w:pPr>
    </w:p>
    <w:p>
      <w:pPr>
        <w:ind w:firstLine="397"/>
        <w:rPr>
          <w:rFonts w:ascii="楷体" w:hAnsi="楷体" w:eastAsia="楷体"/>
        </w:rPr>
      </w:pPr>
      <w:r>
        <w:rPr>
          <w:rFonts w:hint="eastAsia" w:ascii="楷体" w:hAnsi="楷体" w:eastAsia="楷体"/>
        </w:rPr>
        <w:t>原</w:t>
      </w:r>
      <w:r>
        <w:rPr>
          <w:rFonts w:ascii="Times New Roman" w:hAnsi="Times New Roman" w:eastAsia="楷体" w:cs="Times New Roman"/>
        </w:rPr>
        <w:t>IV</w:t>
      </w:r>
      <w:r>
        <w:rPr>
          <w:rFonts w:hint="eastAsia" w:ascii="楷体" w:hAnsi="楷体" w:eastAsia="楷体"/>
        </w:rPr>
        <w:t>改为：</w:t>
      </w:r>
    </w:p>
    <w:p>
      <w:pPr>
        <w:jc w:val="center"/>
        <w:outlineLvl w:val="1"/>
        <w:rPr>
          <w:rFonts w:eastAsia="楷体"/>
          <w:sz w:val="22"/>
          <w:szCs w:val="22"/>
        </w:rPr>
      </w:pPr>
      <w:bookmarkStart w:id="88" w:name="_Toc19426"/>
      <w:r>
        <w:rPr>
          <w:rFonts w:hint="eastAsia" w:ascii="Times New Roman" w:hAnsi="Times New Roman"/>
          <w:lang w:bidi="ar"/>
        </w:rPr>
        <w:t>“</w:t>
      </w:r>
      <w:r>
        <w:rPr>
          <w:rFonts w:ascii="Times New Roman" w:hAnsi="Times New Roman" w:cs="Times New Roman"/>
          <w:sz w:val="28"/>
          <w:szCs w:val="28"/>
        </w:rPr>
        <w:t xml:space="preserve">IV  </w:t>
      </w:r>
      <w:r>
        <w:rPr>
          <w:rFonts w:hint="eastAsia" w:ascii="楷体" w:hAnsi="楷体" w:eastAsia="楷体"/>
          <w:strike/>
          <w:color w:val="FF0000"/>
          <w:sz w:val="28"/>
          <w:szCs w:val="28"/>
        </w:rPr>
        <w:t>船舶能效规则</w:t>
      </w:r>
      <w:r>
        <w:rPr>
          <w:rFonts w:ascii="楷体" w:hAnsi="楷体" w:eastAsia="楷体" w:cs="宋体"/>
          <w:strike/>
          <w:color w:val="FF0000"/>
          <w:kern w:val="0"/>
          <w:sz w:val="28"/>
          <w:szCs w:val="28"/>
          <w:vertAlign w:val="superscript"/>
        </w:rPr>
        <w:footnoteReference w:id="27"/>
      </w:r>
      <w:r>
        <w:rPr>
          <w:rFonts w:hint="eastAsia" w:ascii="Times New Roman" w:hAnsi="Times New Roman" w:eastAsia="楷体" w:cs="Times New Roman"/>
          <w:color w:val="FF0000"/>
          <w:sz w:val="28"/>
          <w:szCs w:val="28"/>
          <w:u w:val="single"/>
        </w:rPr>
        <w:t>国际航运碳强度规则</w:t>
      </w:r>
      <w:r>
        <w:rPr>
          <w:rFonts w:hint="eastAsia" w:ascii="Times New Roman" w:hAnsi="Times New Roman"/>
          <w:lang w:bidi="ar"/>
        </w:rPr>
        <w:t>”</w:t>
      </w:r>
      <w:bookmarkEnd w:id="88"/>
    </w:p>
    <w:p>
      <w:pPr>
        <w:adjustRightInd w:val="0"/>
        <w:snapToGrid w:val="0"/>
        <w:spacing w:line="360" w:lineRule="auto"/>
        <w:jc w:val="center"/>
        <w:rPr>
          <w:rFonts w:ascii="楷体" w:hAnsi="楷体" w:eastAsia="楷体" w:cs="楷体"/>
          <w:snapToGrid w:val="0"/>
          <w:color w:val="0000FF"/>
          <w:kern w:val="0"/>
          <w:szCs w:val="21"/>
        </w:rPr>
      </w:pPr>
    </w:p>
    <w:p>
      <w:pPr>
        <w:pStyle w:val="10"/>
        <w:jc w:val="center"/>
        <w:outlineLvl w:val="3"/>
        <w:rPr>
          <w:rFonts w:ascii="Times New Roman" w:hAnsi="Times New Roman" w:eastAsia="黑体"/>
          <w:bCs/>
        </w:rPr>
      </w:pPr>
      <w:bookmarkStart w:id="89" w:name="_Toc10763"/>
      <w:r>
        <w:rPr>
          <w:rFonts w:hint="eastAsia" w:ascii="Times New Roman" w:hAnsi="Times New Roman" w:eastAsia="黑体"/>
          <w:bCs/>
        </w:rPr>
        <w:t>第</w:t>
      </w:r>
      <w:r>
        <w:rPr>
          <w:rFonts w:ascii="Times New Roman" w:hAnsi="Times New Roman" w:eastAsia="黑体"/>
          <w:bCs/>
        </w:rPr>
        <w:t>19</w:t>
      </w:r>
      <w:r>
        <w:rPr>
          <w:rFonts w:hint="eastAsia" w:ascii="Times New Roman" w:hAnsi="Times New Roman" w:eastAsia="黑体"/>
          <w:bCs/>
        </w:rPr>
        <w:t xml:space="preserve">条 </w:t>
      </w:r>
      <w:r>
        <w:rPr>
          <w:rFonts w:ascii="Times New Roman" w:hAnsi="Times New Roman" w:eastAsia="黑体"/>
          <w:bCs/>
        </w:rPr>
        <w:t xml:space="preserve"> </w:t>
      </w:r>
      <w:r>
        <w:rPr>
          <w:rFonts w:hint="eastAsia" w:ascii="Times New Roman" w:hAnsi="Times New Roman" w:eastAsia="黑体"/>
          <w:bCs/>
        </w:rPr>
        <w:t>适用范围</w:t>
      </w:r>
      <w:bookmarkEnd w:id="89"/>
    </w:p>
    <w:p>
      <w:pPr>
        <w:pStyle w:val="10"/>
        <w:jc w:val="center"/>
        <w:rPr>
          <w:rFonts w:ascii="Times New Roman" w:hAnsi="Times New Roman" w:eastAsia="黑体"/>
          <w:bCs/>
        </w:rPr>
      </w:pPr>
    </w:p>
    <w:p>
      <w:pPr>
        <w:ind w:firstLine="397"/>
        <w:rPr>
          <w:rFonts w:ascii="楷体" w:hAnsi="楷体" w:eastAsia="楷体"/>
        </w:rPr>
      </w:pPr>
      <w:r>
        <w:rPr>
          <w:rFonts w:hint="eastAsia" w:ascii="楷体" w:hAnsi="楷体" w:eastAsia="楷体"/>
        </w:rPr>
        <w:t>原2改为：</w:t>
      </w:r>
    </w:p>
    <w:p>
      <w:pPr>
        <w:pStyle w:val="10"/>
        <w:ind w:firstLine="420"/>
        <w:rPr>
          <w:rFonts w:ascii="Times New Roman" w:hAnsi="Times New Roman"/>
          <w:lang w:bidi="ar"/>
        </w:rPr>
      </w:pPr>
      <w:r>
        <w:rPr>
          <w:rFonts w:hint="eastAsia" w:ascii="Times New Roman" w:hAnsi="Times New Roman"/>
          <w:lang w:bidi="ar"/>
        </w:rPr>
        <w:t>“</w:t>
      </w:r>
      <w:r>
        <w:rPr>
          <w:rFonts w:ascii="Times New Roman" w:hAnsi="Times New Roman"/>
          <w:lang w:bidi="ar"/>
        </w:rPr>
        <w:t xml:space="preserve">2  </w:t>
      </w:r>
      <w:r>
        <w:rPr>
          <w:rFonts w:hint="eastAsia" w:ascii="Times New Roman" w:hAnsi="Times New Roman"/>
          <w:lang w:bidi="ar"/>
        </w:rPr>
        <w:t>本节规定应不适用于：</w:t>
      </w:r>
    </w:p>
    <w:p>
      <w:pPr>
        <w:pStyle w:val="10"/>
        <w:ind w:left="1108" w:leftChars="330" w:hanging="415" w:hangingChars="198"/>
        <w:rPr>
          <w:rFonts w:ascii="Times New Roman" w:hAnsi="Times New Roman"/>
          <w:lang w:bidi="ar"/>
        </w:rPr>
      </w:pPr>
      <w:r>
        <w:rPr>
          <w:rFonts w:ascii="Times New Roman" w:hAnsi="Times New Roman"/>
          <w:lang w:bidi="ar"/>
        </w:rPr>
        <w:t xml:space="preserve">.1  </w:t>
      </w:r>
      <w:r>
        <w:rPr>
          <w:rFonts w:hint="eastAsia" w:ascii="Times New Roman" w:hAnsi="Times New Roman"/>
          <w:lang w:bidi="ar"/>
        </w:rPr>
        <w:t>仅航行于其船旗国主权或管辖范围的水域内的船舶。但是，各</w:t>
      </w:r>
      <w:r>
        <w:rPr>
          <w:rFonts w:hint="eastAsia" w:ascii="Times New Roman" w:hAnsi="Times New Roman"/>
          <w:strike/>
          <w:color w:val="FF0000"/>
          <w:lang w:bidi="ar"/>
        </w:rPr>
        <w:t>缔约</w:t>
      </w:r>
      <w:r>
        <w:rPr>
          <w:rFonts w:hint="eastAsia" w:ascii="Times New Roman" w:hAnsi="Times New Roman"/>
          <w:lang w:bidi="ar"/>
        </w:rPr>
        <w:t>国应通过采取相应的措施确保该船应在合理和可行的范围内按第IV节的规定建造和行事。</w:t>
      </w:r>
    </w:p>
    <w:p>
      <w:pPr>
        <w:pStyle w:val="10"/>
        <w:ind w:left="1108" w:leftChars="330" w:hanging="415" w:hangingChars="198"/>
        <w:rPr>
          <w:rFonts w:ascii="Times New Roman" w:hAnsi="Times New Roman"/>
          <w:lang w:bidi="ar"/>
        </w:rPr>
      </w:pPr>
      <w:r>
        <w:rPr>
          <w:rFonts w:hint="eastAsia" w:ascii="Times New Roman" w:hAnsi="Times New Roman"/>
          <w:lang w:bidi="ar"/>
        </w:rPr>
        <w:t>.2</w:t>
      </w:r>
      <w:r>
        <w:rPr>
          <w:rFonts w:ascii="Times New Roman" w:hAnsi="Times New Roman"/>
          <w:lang w:bidi="ar"/>
        </w:rPr>
        <w:t xml:space="preserve">  </w:t>
      </w:r>
      <w:r>
        <w:rPr>
          <w:rFonts w:hint="eastAsia" w:ascii="Times New Roman" w:hAnsi="Times New Roman"/>
          <w:strike/>
          <w:color w:val="FF0000"/>
          <w:lang w:bidi="ar"/>
        </w:rPr>
        <w:t>不以机械方式推进的船舶</w:t>
      </w:r>
      <w:r>
        <w:rPr>
          <w:rFonts w:hint="eastAsia" w:ascii="Times New Roman" w:hAnsi="Times New Roman"/>
          <w:color w:val="FF0000"/>
          <w:u w:val="single"/>
          <w:lang w:bidi="ar"/>
        </w:rPr>
        <w:t>非机动船，</w:t>
      </w:r>
      <w:r>
        <w:rPr>
          <w:rFonts w:hint="eastAsia" w:ascii="Times New Roman" w:hAnsi="Times New Roman"/>
          <w:lang w:bidi="ar"/>
        </w:rPr>
        <w:t>以及包括FPSO、FSU和钻井装置在内的平台，不论其推进方式</w:t>
      </w:r>
      <w:r>
        <w:rPr>
          <w:rFonts w:hint="eastAsia" w:ascii="Times New Roman" w:hAnsi="Times New Roman"/>
          <w:strike/>
          <w:color w:val="FF0000"/>
          <w:lang w:bidi="ar"/>
        </w:rPr>
        <w:t>如何</w:t>
      </w:r>
      <w:r>
        <w:rPr>
          <w:rFonts w:hint="eastAsia" w:ascii="Times New Roman" w:hAnsi="Times New Roman"/>
          <w:lang w:bidi="ar"/>
        </w:rPr>
        <w:t>。”</w:t>
      </w:r>
    </w:p>
    <w:p>
      <w:pPr>
        <w:adjustRightInd w:val="0"/>
        <w:snapToGrid w:val="0"/>
        <w:ind w:firstLine="420" w:firstLineChars="200"/>
        <w:rPr>
          <w:rFonts w:ascii="楷体" w:hAnsi="楷体" w:eastAsia="楷体" w:cs="楷体"/>
          <w:snapToGrid w:val="0"/>
          <w:color w:val="0000FF"/>
          <w:kern w:val="0"/>
          <w:szCs w:val="21"/>
        </w:rPr>
      </w:pPr>
    </w:p>
    <w:p>
      <w:pPr>
        <w:ind w:firstLine="397"/>
        <w:rPr>
          <w:rFonts w:ascii="楷体" w:hAnsi="楷体" w:eastAsia="楷体"/>
        </w:rPr>
      </w:pPr>
      <w:r>
        <w:rPr>
          <w:rFonts w:hint="eastAsia" w:ascii="楷体" w:hAnsi="楷体" w:eastAsia="楷体"/>
        </w:rPr>
        <w:t>原3改为：</w:t>
      </w:r>
    </w:p>
    <w:p>
      <w:pPr>
        <w:pStyle w:val="10"/>
        <w:ind w:firstLine="420"/>
        <w:rPr>
          <w:rFonts w:ascii="Times New Roman" w:hAnsi="Times New Roman"/>
          <w:color w:val="FF0000"/>
          <w:u w:val="single"/>
        </w:rPr>
      </w:pPr>
      <w:r>
        <w:rPr>
          <w:rFonts w:hint="eastAsia" w:ascii="Times New Roman" w:hAnsi="Times New Roman"/>
          <w:lang w:bidi="ar"/>
        </w:rPr>
        <w:t>“</w:t>
      </w:r>
      <w:r>
        <w:rPr>
          <w:rFonts w:ascii="Times New Roman" w:hAnsi="Times New Roman"/>
          <w:lang w:bidi="ar"/>
        </w:rPr>
        <w:t xml:space="preserve">3  </w:t>
      </w:r>
      <w:r>
        <w:rPr>
          <w:rFonts w:ascii="Times New Roman" w:hAnsi="Times New Roman"/>
          <w:strike/>
          <w:color w:val="FF0000"/>
          <w:lang w:bidi="ar"/>
        </w:rPr>
        <w:t>本附则第20和21条不应适用于具有非常规推进的船舶，但第20和21条应适用于第2条43所定义的2019年9月1日或以后交付的具有非常规推进的豪华邮轮和具有常规推进和非常规推进的LNG运输船。第20和21条不应适用于具有破冰能力的货船。</w:t>
      </w:r>
      <w:r>
        <w:rPr>
          <w:rFonts w:ascii="Times New Roman" w:hAnsi="Times New Roman"/>
          <w:color w:val="FF0000"/>
          <w:u w:val="single"/>
        </w:rPr>
        <w:t>本</w:t>
      </w:r>
      <w:r>
        <w:rPr>
          <w:rFonts w:hint="eastAsia" w:ascii="Times New Roman" w:hAnsi="Times New Roman"/>
          <w:color w:val="FF0000"/>
          <w:u w:val="single"/>
        </w:rPr>
        <w:t>章</w:t>
      </w:r>
      <w:r>
        <w:rPr>
          <w:rFonts w:ascii="Times New Roman" w:hAnsi="Times New Roman"/>
          <w:color w:val="FF0000"/>
          <w:u w:val="single"/>
        </w:rPr>
        <w:t>第22、23、24和25条不应适用于具有非常规推进的船舶，但第22和24条应适用于第2.2.1条所定义的2019年9月1日或以后交付的具有非常规推进的豪华邮轮和具有常规推进或非常规推进的LNG运输船，第23和25条应适用于具有非常规推进的豪华邮轮和具有常规推进或非常规推进的LNG运输船。第22、23、24、25和28条不应适用于极地规则定义的A类船舶。</w:t>
      </w:r>
      <w:r>
        <w:rPr>
          <w:rFonts w:hint="eastAsia" w:ascii="Times New Roman" w:hAnsi="Times New Roman"/>
        </w:rPr>
        <w:t>”</w:t>
      </w:r>
    </w:p>
    <w:p>
      <w:pPr>
        <w:pStyle w:val="10"/>
        <w:ind w:firstLine="420"/>
        <w:rPr>
          <w:rFonts w:ascii="Times New Roman" w:hAnsi="Times New Roman"/>
          <w:lang w:bidi="ar"/>
        </w:rPr>
      </w:pPr>
    </w:p>
    <w:p>
      <w:pPr>
        <w:ind w:firstLine="397"/>
        <w:rPr>
          <w:rFonts w:ascii="楷体" w:hAnsi="楷体" w:eastAsia="楷体"/>
        </w:rPr>
      </w:pPr>
      <w:r>
        <w:rPr>
          <w:rFonts w:hint="eastAsia" w:ascii="楷体" w:hAnsi="楷体" w:eastAsia="楷体"/>
        </w:rPr>
        <w:t>原4改为：</w:t>
      </w:r>
    </w:p>
    <w:p>
      <w:pPr>
        <w:pStyle w:val="10"/>
        <w:ind w:firstLine="420"/>
        <w:rPr>
          <w:rFonts w:ascii="Times New Roman" w:hAnsi="Times New Roman"/>
          <w:lang w:bidi="ar"/>
        </w:rPr>
      </w:pPr>
      <w:r>
        <w:rPr>
          <w:rFonts w:hint="eastAsia" w:ascii="Times New Roman" w:hAnsi="Times New Roman"/>
          <w:lang w:bidi="ar"/>
        </w:rPr>
        <w:t>“</w:t>
      </w:r>
      <w:r>
        <w:rPr>
          <w:rFonts w:ascii="Times New Roman" w:hAnsi="Times New Roman"/>
          <w:lang w:bidi="ar"/>
        </w:rPr>
        <w:t xml:space="preserve">4  </w:t>
      </w:r>
      <w:r>
        <w:rPr>
          <w:rFonts w:hint="eastAsia" w:ascii="Times New Roman" w:hAnsi="Times New Roman"/>
          <w:lang w:bidi="ar"/>
        </w:rPr>
        <w:t>尽管有本条</w:t>
      </w:r>
      <w:r>
        <w:rPr>
          <w:rFonts w:ascii="Times New Roman" w:hAnsi="Times New Roman"/>
          <w:lang w:bidi="ar"/>
        </w:rPr>
        <w:t>1</w:t>
      </w:r>
      <w:r>
        <w:rPr>
          <w:rFonts w:hint="eastAsia" w:ascii="Times New Roman" w:hAnsi="Times New Roman"/>
          <w:lang w:bidi="ar"/>
        </w:rPr>
        <w:t>的规定，主管机关可对</w:t>
      </w:r>
      <w:r>
        <w:rPr>
          <w:rFonts w:ascii="Times New Roman" w:hAnsi="Times New Roman"/>
          <w:lang w:bidi="ar"/>
        </w:rPr>
        <w:t>400</w:t>
      </w:r>
      <w:r>
        <w:rPr>
          <w:rFonts w:hint="eastAsia" w:ascii="Times New Roman" w:hAnsi="Times New Roman"/>
          <w:lang w:bidi="ar"/>
        </w:rPr>
        <w:t>总吨及以上的船舶免除适用</w:t>
      </w:r>
      <w:r>
        <w:rPr>
          <w:rFonts w:hint="eastAsia" w:ascii="Times New Roman" w:hAnsi="Times New Roman"/>
          <w:strike/>
          <w:color w:val="FF0000"/>
          <w:lang w:bidi="ar"/>
        </w:rPr>
        <w:t>第</w:t>
      </w:r>
      <w:r>
        <w:rPr>
          <w:rFonts w:ascii="Times New Roman" w:hAnsi="Times New Roman"/>
          <w:strike/>
          <w:color w:val="FF0000"/>
          <w:lang w:bidi="ar"/>
        </w:rPr>
        <w:t>20</w:t>
      </w:r>
      <w:r>
        <w:rPr>
          <w:rFonts w:hint="eastAsia" w:ascii="Times New Roman" w:hAnsi="Times New Roman"/>
          <w:strike/>
          <w:color w:val="FF0000"/>
          <w:lang w:bidi="ar"/>
        </w:rPr>
        <w:t>条和第</w:t>
      </w:r>
      <w:r>
        <w:rPr>
          <w:rFonts w:ascii="Times New Roman" w:hAnsi="Times New Roman"/>
          <w:strike/>
          <w:color w:val="FF0000"/>
          <w:lang w:bidi="ar"/>
        </w:rPr>
        <w:t>21</w:t>
      </w:r>
      <w:r>
        <w:rPr>
          <w:rFonts w:hint="eastAsia" w:ascii="Times New Roman" w:hAnsi="Times New Roman"/>
          <w:strike/>
          <w:color w:val="FF0000"/>
          <w:lang w:bidi="ar"/>
        </w:rPr>
        <w:t>条的要求</w:t>
      </w:r>
      <w:r>
        <w:rPr>
          <w:rFonts w:ascii="Times New Roman" w:hAnsi="Times New Roman"/>
          <w:color w:val="FF0000"/>
          <w:u w:val="single"/>
        </w:rPr>
        <w:t>第22条和第24条的要求</w:t>
      </w:r>
      <w:r>
        <w:rPr>
          <w:rFonts w:ascii="Times New Roman" w:hAnsi="Times New Roman"/>
          <w:lang w:bidi="ar"/>
        </w:rPr>
        <w:t>。</w:t>
      </w:r>
      <w:r>
        <w:rPr>
          <w:rFonts w:hint="eastAsia" w:ascii="Times New Roman" w:hAnsi="Times New Roman"/>
          <w:lang w:bidi="ar"/>
        </w:rPr>
        <w:t>”</w:t>
      </w:r>
    </w:p>
    <w:p>
      <w:pPr>
        <w:pStyle w:val="10"/>
        <w:ind w:firstLine="420"/>
        <w:rPr>
          <w:rFonts w:ascii="Times New Roman" w:hAnsi="Times New Roman"/>
          <w:lang w:bidi="ar"/>
        </w:rPr>
      </w:pPr>
    </w:p>
    <w:p>
      <w:pPr>
        <w:ind w:firstLine="397"/>
        <w:rPr>
          <w:rFonts w:ascii="楷体" w:hAnsi="楷体" w:eastAsia="楷体"/>
        </w:rPr>
      </w:pPr>
      <w:r>
        <w:rPr>
          <w:rFonts w:hint="eastAsia" w:ascii="楷体" w:hAnsi="楷体" w:eastAsia="楷体"/>
        </w:rPr>
        <w:t>原5.4改为：</w:t>
      </w:r>
    </w:p>
    <w:p>
      <w:pPr>
        <w:pStyle w:val="10"/>
        <w:ind w:left="1108" w:leftChars="330" w:hanging="415" w:hangingChars="198"/>
        <w:rPr>
          <w:rFonts w:ascii="Times New Roman" w:hAnsi="Times New Roman"/>
          <w:lang w:bidi="ar"/>
        </w:rPr>
      </w:pPr>
      <w:r>
        <w:rPr>
          <w:rFonts w:hint="eastAsia" w:ascii="Times New Roman" w:hAnsi="Times New Roman"/>
          <w:lang w:bidi="ar"/>
        </w:rPr>
        <w:t>“</w:t>
      </w:r>
      <w:r>
        <w:rPr>
          <w:rFonts w:ascii="Times New Roman" w:hAnsi="Times New Roman"/>
          <w:lang w:bidi="ar"/>
        </w:rPr>
        <w:t xml:space="preserve">.4  </w:t>
      </w:r>
      <w:r>
        <w:rPr>
          <w:rFonts w:hint="eastAsia" w:ascii="Times New Roman" w:hAnsi="Times New Roman"/>
          <w:lang w:bidi="ar"/>
        </w:rPr>
        <w:t>新船或现有船舶在</w:t>
      </w:r>
      <w:r>
        <w:rPr>
          <w:rFonts w:ascii="Times New Roman" w:hAnsi="Times New Roman"/>
          <w:lang w:bidi="ar"/>
        </w:rPr>
        <w:t>2017</w:t>
      </w:r>
      <w:r>
        <w:rPr>
          <w:rFonts w:hint="eastAsia" w:ascii="Times New Roman" w:hAnsi="Times New Roman"/>
          <w:lang w:bidi="ar"/>
        </w:rPr>
        <w:t>年</w:t>
      </w:r>
      <w:r>
        <w:rPr>
          <w:rFonts w:ascii="Times New Roman" w:hAnsi="Times New Roman"/>
          <w:lang w:bidi="ar"/>
        </w:rPr>
        <w:t>1</w:t>
      </w:r>
      <w:r>
        <w:rPr>
          <w:rFonts w:hint="eastAsia" w:ascii="Times New Roman" w:hAnsi="Times New Roman"/>
          <w:lang w:bidi="ar"/>
        </w:rPr>
        <w:t>月</w:t>
      </w:r>
      <w:r>
        <w:rPr>
          <w:rFonts w:ascii="Times New Roman" w:hAnsi="Times New Roman"/>
          <w:lang w:bidi="ar"/>
        </w:rPr>
        <w:t>1</w:t>
      </w:r>
      <w:r>
        <w:rPr>
          <w:rFonts w:hint="eastAsia" w:ascii="Times New Roman" w:hAnsi="Times New Roman"/>
          <w:lang w:bidi="ar"/>
        </w:rPr>
        <w:t>日或以后进行第</w:t>
      </w:r>
      <w:r>
        <w:rPr>
          <w:rFonts w:ascii="Times New Roman" w:hAnsi="Times New Roman"/>
          <w:strike/>
          <w:color w:val="FF0000"/>
          <w:lang w:bidi="ar"/>
        </w:rPr>
        <w:t>2.24</w:t>
      </w:r>
      <w:r>
        <w:rPr>
          <w:rFonts w:hint="eastAsia" w:ascii="Times New Roman" w:hAnsi="Times New Roman"/>
          <w:color w:val="FF0000"/>
          <w:u w:val="single"/>
          <w:lang w:bidi="ar"/>
        </w:rPr>
        <w:t>2.2.17</w:t>
      </w:r>
      <w:r>
        <w:rPr>
          <w:rFonts w:hint="eastAsia" w:ascii="Times New Roman" w:hAnsi="Times New Roman"/>
          <w:lang w:bidi="ar"/>
        </w:rPr>
        <w:t>条定义的重大改建，且适用</w:t>
      </w:r>
      <w:r>
        <w:rPr>
          <w:rFonts w:hint="eastAsia" w:ascii="Times New Roman" w:hAnsi="Times New Roman"/>
          <w:strike/>
          <w:color w:val="FF0000"/>
          <w:lang w:bidi="ar"/>
        </w:rPr>
        <w:t>第2章</w:t>
      </w:r>
      <w:r>
        <w:rPr>
          <w:rFonts w:hint="eastAsia" w:ascii="Times New Roman" w:hAnsi="Times New Roman"/>
          <w:color w:val="FF0000"/>
          <w:u w:val="single"/>
          <w:lang w:bidi="ar"/>
        </w:rPr>
        <w:t>第II节</w:t>
      </w:r>
      <w:r>
        <w:rPr>
          <w:rFonts w:hint="eastAsia" w:ascii="Times New Roman" w:hAnsi="Times New Roman"/>
          <w:lang w:bidi="ar"/>
        </w:rPr>
        <w:t>第5.</w:t>
      </w:r>
      <w:r>
        <w:rPr>
          <w:rFonts w:ascii="Times New Roman" w:hAnsi="Times New Roman"/>
          <w:lang w:bidi="ar"/>
        </w:rPr>
        <w:t>4.2</w:t>
      </w:r>
      <w:r>
        <w:rPr>
          <w:rFonts w:hint="eastAsia" w:ascii="Times New Roman" w:hAnsi="Times New Roman"/>
          <w:lang w:bidi="ar"/>
        </w:rPr>
        <w:t>和</w:t>
      </w:r>
      <w:r>
        <w:rPr>
          <w:rFonts w:ascii="Times New Roman" w:hAnsi="Times New Roman"/>
          <w:lang w:bidi="ar"/>
        </w:rPr>
        <w:t>5.4.3</w:t>
      </w:r>
      <w:r>
        <w:rPr>
          <w:rFonts w:hint="eastAsia" w:ascii="Times New Roman" w:hAnsi="Times New Roman"/>
          <w:lang w:bidi="ar"/>
        </w:rPr>
        <w:t>条。”</w:t>
      </w:r>
    </w:p>
    <w:p>
      <w:pPr>
        <w:pStyle w:val="10"/>
        <w:ind w:firstLine="420"/>
        <w:rPr>
          <w:rFonts w:ascii="楷体" w:hAnsi="楷体" w:eastAsia="楷体" w:cs="楷体"/>
          <w:snapToGrid w:val="0"/>
          <w:color w:val="0000FF"/>
          <w:kern w:val="0"/>
        </w:rPr>
      </w:pPr>
    </w:p>
    <w:p>
      <w:pPr>
        <w:ind w:firstLine="397"/>
        <w:rPr>
          <w:rFonts w:ascii="楷体" w:hAnsi="楷体" w:eastAsia="楷体"/>
        </w:rPr>
      </w:pPr>
      <w:r>
        <w:rPr>
          <w:rFonts w:hint="eastAsia" w:ascii="楷体" w:hAnsi="楷体" w:eastAsia="楷体"/>
        </w:rPr>
        <w:t>原6改为：</w:t>
      </w:r>
    </w:p>
    <w:p>
      <w:pPr>
        <w:pStyle w:val="10"/>
        <w:ind w:firstLine="420"/>
        <w:rPr>
          <w:rFonts w:ascii="Times New Roman" w:hAnsi="Times New Roman"/>
          <w:lang w:bidi="ar"/>
        </w:rPr>
      </w:pPr>
      <w:r>
        <w:rPr>
          <w:rFonts w:hint="eastAsia" w:ascii="Times New Roman" w:hAnsi="Times New Roman"/>
          <w:lang w:bidi="ar"/>
        </w:rPr>
        <w:t>“6</w:t>
      </w:r>
      <w:r>
        <w:rPr>
          <w:rFonts w:ascii="Times New Roman" w:hAnsi="Times New Roman"/>
          <w:lang w:bidi="ar"/>
        </w:rPr>
        <w:t xml:space="preserve">  </w:t>
      </w:r>
      <w:r>
        <w:rPr>
          <w:rFonts w:hint="eastAsia" w:ascii="Times New Roman" w:hAnsi="Times New Roman"/>
          <w:lang w:bidi="ar"/>
        </w:rPr>
        <w:t>允许或推迟、撤销或拒绝悬挂其国旗的船舶适用本条4的MARPOL公约缔约国主管机关，应将其资料立即送交国际海事组织，由国际海事组织将该资料分发给</w:t>
      </w:r>
      <w:r>
        <w:rPr>
          <w:rFonts w:hint="eastAsia" w:ascii="Times New Roman" w:hAnsi="Times New Roman"/>
          <w:strike/>
          <w:color w:val="FF0000"/>
          <w:lang w:bidi="ar"/>
        </w:rPr>
        <w:t>本议定书</w:t>
      </w:r>
      <w:r>
        <w:rPr>
          <w:rFonts w:hint="eastAsia" w:ascii="Times New Roman" w:hAnsi="Times New Roman"/>
          <w:lang w:bidi="ar"/>
        </w:rPr>
        <w:t>各缔约国，供其参考。”</w:t>
      </w:r>
    </w:p>
    <w:p>
      <w:pPr>
        <w:pStyle w:val="10"/>
        <w:ind w:firstLine="420"/>
        <w:rPr>
          <w:rFonts w:ascii="Times New Roman" w:hAnsi="Times New Roman"/>
          <w:lang w:bidi="ar"/>
        </w:rPr>
      </w:pPr>
    </w:p>
    <w:p>
      <w:pPr>
        <w:ind w:firstLine="397"/>
        <w:rPr>
          <w:rFonts w:ascii="楷体" w:hAnsi="楷体" w:eastAsia="楷体"/>
        </w:rPr>
      </w:pPr>
      <w:r>
        <w:rPr>
          <w:rFonts w:hint="eastAsia" w:ascii="楷体" w:hAnsi="楷体" w:eastAsia="楷体"/>
        </w:rPr>
        <w:t>删除第20条，第21条，第22条。</w:t>
      </w:r>
    </w:p>
    <w:p>
      <w:pPr>
        <w:ind w:firstLine="397"/>
        <w:rPr>
          <w:rFonts w:ascii="楷体" w:hAnsi="楷体" w:eastAsia="楷体"/>
        </w:rPr>
      </w:pPr>
    </w:p>
    <w:p>
      <w:pPr>
        <w:ind w:firstLine="397"/>
        <w:rPr>
          <w:rFonts w:ascii="楷体" w:hAnsi="楷体" w:eastAsia="楷体"/>
        </w:rPr>
      </w:pPr>
      <w:r>
        <w:rPr>
          <w:rFonts w:hint="eastAsia" w:ascii="楷体" w:hAnsi="楷体" w:eastAsia="楷体"/>
        </w:rPr>
        <w:t>在第19条后新增第20条和第21条如下：</w:t>
      </w:r>
    </w:p>
    <w:p>
      <w:pPr>
        <w:pStyle w:val="10"/>
        <w:jc w:val="center"/>
        <w:outlineLvl w:val="3"/>
        <w:rPr>
          <w:rFonts w:ascii="Times New Roman" w:hAnsi="Times New Roman" w:eastAsia="黑体"/>
          <w:bCs/>
          <w:color w:val="FF0000"/>
          <w:u w:val="single"/>
        </w:rPr>
      </w:pPr>
      <w:bookmarkStart w:id="90" w:name="_Toc14225"/>
      <w:r>
        <w:rPr>
          <w:rFonts w:hint="eastAsia" w:hAnsi="宋体" w:eastAsia="宋体" w:cs="宋体"/>
          <w:bCs/>
        </w:rPr>
        <w:t>“</w:t>
      </w:r>
      <w:r>
        <w:rPr>
          <w:rFonts w:ascii="Times New Roman" w:hAnsi="Times New Roman" w:eastAsia="黑体"/>
          <w:bCs/>
          <w:color w:val="FF0000"/>
          <w:u w:val="single"/>
        </w:rPr>
        <w:t>第20条</w:t>
      </w:r>
      <w:r>
        <w:rPr>
          <w:rFonts w:hint="eastAsia" w:ascii="Times New Roman" w:hAnsi="Times New Roman" w:eastAsia="黑体"/>
          <w:bCs/>
          <w:color w:val="FF0000"/>
          <w:u w:val="single"/>
        </w:rPr>
        <w:t xml:space="preserve"> </w:t>
      </w:r>
      <w:r>
        <w:rPr>
          <w:rFonts w:ascii="Times New Roman" w:hAnsi="Times New Roman" w:eastAsia="黑体"/>
          <w:bCs/>
          <w:color w:val="FF0000"/>
          <w:u w:val="single"/>
        </w:rPr>
        <w:t xml:space="preserve"> 目标</w:t>
      </w:r>
      <w:bookmarkEnd w:id="90"/>
    </w:p>
    <w:p>
      <w:pPr>
        <w:ind w:firstLine="420" w:firstLineChars="200"/>
        <w:rPr>
          <w:color w:val="FF0000"/>
          <w:u w:val="single"/>
        </w:rPr>
      </w:pPr>
    </w:p>
    <w:p>
      <w:pPr>
        <w:ind w:firstLine="420" w:firstLineChars="200"/>
        <w:rPr>
          <w:rFonts w:eastAsia="楷体"/>
          <w:sz w:val="22"/>
          <w:szCs w:val="22"/>
        </w:rPr>
      </w:pPr>
      <w:r>
        <w:t>本</w:t>
      </w:r>
      <w:r>
        <w:rPr>
          <w:rFonts w:hint="eastAsia"/>
        </w:rPr>
        <w:t>节</w:t>
      </w:r>
      <w:r>
        <w:t>的目标是降低国际航运的碳强度，努力达</w:t>
      </w:r>
      <w:r>
        <w:rPr>
          <w:rFonts w:ascii="Times New Roman" w:hAnsi="Times New Roman" w:cs="Times New Roman"/>
        </w:rPr>
        <w:t>到《IMO船</w:t>
      </w:r>
      <w:r>
        <w:t>舶温室气体减排初步战略》</w:t>
      </w:r>
      <w:r>
        <w:rPr>
          <w:rStyle w:val="33"/>
        </w:rPr>
        <w:footnoteReference w:id="28"/>
      </w:r>
      <w:r>
        <w:t>中规定的目标水平。</w:t>
      </w:r>
    </w:p>
    <w:p>
      <w:pPr>
        <w:ind w:firstLine="420" w:firstLineChars="200"/>
        <w:rPr>
          <w:rFonts w:ascii="楷体" w:hAnsi="楷体" w:eastAsia="楷体" w:cs="楷体"/>
          <w:snapToGrid w:val="0"/>
          <w:color w:val="0000FF"/>
          <w:kern w:val="0"/>
          <w:szCs w:val="21"/>
        </w:rPr>
      </w:pPr>
    </w:p>
    <w:p>
      <w:pPr>
        <w:ind w:firstLine="420" w:firstLineChars="200"/>
        <w:rPr>
          <w:rFonts w:ascii="楷体" w:hAnsi="楷体" w:eastAsia="楷体" w:cs="楷体"/>
          <w:snapToGrid w:val="0"/>
          <w:color w:val="0000FF"/>
          <w:kern w:val="0"/>
          <w:szCs w:val="21"/>
        </w:rPr>
      </w:pPr>
    </w:p>
    <w:p>
      <w:pPr>
        <w:pStyle w:val="10"/>
        <w:jc w:val="center"/>
        <w:outlineLvl w:val="3"/>
        <w:rPr>
          <w:rFonts w:ascii="Times New Roman" w:hAnsi="Times New Roman" w:eastAsia="黑体"/>
          <w:bCs/>
          <w:color w:val="FF0000"/>
          <w:u w:val="single"/>
        </w:rPr>
      </w:pPr>
      <w:bookmarkStart w:id="91" w:name="_Toc556"/>
      <w:r>
        <w:rPr>
          <w:rFonts w:ascii="Times New Roman" w:hAnsi="Times New Roman" w:eastAsia="黑体"/>
          <w:bCs/>
          <w:color w:val="FF0000"/>
          <w:u w:val="single"/>
        </w:rPr>
        <w:t>第21条  功能要求</w:t>
      </w:r>
      <w:bookmarkEnd w:id="91"/>
    </w:p>
    <w:p>
      <w:pPr>
        <w:ind w:firstLine="420" w:firstLineChars="200"/>
        <w:rPr>
          <w:color w:val="FF0000"/>
          <w:u w:val="single"/>
        </w:rPr>
      </w:pPr>
    </w:p>
    <w:p>
      <w:pPr>
        <w:ind w:firstLine="420" w:firstLineChars="200"/>
        <w:rPr>
          <w:rFonts w:ascii="Times New Roman" w:hAnsi="Times New Roman" w:cs="Times New Roman"/>
        </w:rPr>
      </w:pPr>
      <w:r>
        <w:t>为了实现本</w:t>
      </w:r>
      <w:r>
        <w:rPr>
          <w:rFonts w:hint="eastAsia"/>
        </w:rPr>
        <w:t>章</w:t>
      </w:r>
      <w:r>
        <w:rPr>
          <w:rFonts w:ascii="Times New Roman" w:hAnsi="Times New Roman" w:cs="Times New Roman"/>
        </w:rPr>
        <w:t>第20条规定的目标，本节适用的船舶应符合以下功能要求（如适用），以降低其碳强度：</w:t>
      </w:r>
    </w:p>
    <w:p>
      <w:pPr>
        <w:ind w:firstLine="420" w:firstLineChars="200"/>
        <w:rPr>
          <w:rFonts w:ascii="Times New Roman" w:hAnsi="Times New Roman" w:cs="Times New Roman"/>
        </w:rPr>
      </w:pPr>
      <w:r>
        <w:rPr>
          <w:rFonts w:ascii="Times New Roman" w:hAnsi="Times New Roman" w:cs="Times New Roman"/>
        </w:rPr>
        <w:t>.1本章第22、23、24和25条规定的技术碳强度要求;和</w:t>
      </w:r>
    </w:p>
    <w:p>
      <w:pPr>
        <w:ind w:firstLine="420" w:firstLineChars="200"/>
      </w:pPr>
      <w:r>
        <w:rPr>
          <w:rFonts w:ascii="Times New Roman" w:hAnsi="Times New Roman" w:cs="Times New Roman"/>
        </w:rPr>
        <w:t>.2本章第26、27和28条规定</w:t>
      </w:r>
      <w:r>
        <w:t>的营运碳强度要求。</w:t>
      </w:r>
      <w:r>
        <w:rPr>
          <w:rFonts w:hint="eastAsia"/>
        </w:rPr>
        <w:t>”</w:t>
      </w:r>
    </w:p>
    <w:p>
      <w:pPr>
        <w:pStyle w:val="10"/>
        <w:rPr>
          <w:rFonts w:ascii="楷体" w:hAnsi="楷体" w:eastAsia="楷体" w:cs="楷体"/>
          <w:snapToGrid w:val="0"/>
          <w:color w:val="0000FF"/>
          <w:kern w:val="0"/>
        </w:rPr>
      </w:pPr>
    </w:p>
    <w:p>
      <w:pPr>
        <w:ind w:firstLine="397"/>
        <w:rPr>
          <w:rFonts w:ascii="楷体" w:hAnsi="楷体" w:eastAsia="楷体"/>
        </w:rPr>
      </w:pPr>
      <w:r>
        <w:rPr>
          <w:rFonts w:hint="eastAsia" w:ascii="楷体" w:hAnsi="楷体" w:eastAsia="楷体"/>
        </w:rPr>
        <w:t>新增第22条如下：</w:t>
      </w:r>
    </w:p>
    <w:p>
      <w:pPr>
        <w:pStyle w:val="10"/>
        <w:jc w:val="center"/>
        <w:outlineLvl w:val="3"/>
        <w:rPr>
          <w:rFonts w:ascii="Times New Roman" w:hAnsi="Times New Roman" w:eastAsia="黑体"/>
          <w:bCs/>
        </w:rPr>
      </w:pPr>
      <w:bookmarkStart w:id="92" w:name="_Toc18244"/>
      <w:r>
        <w:rPr>
          <w:rFonts w:hint="eastAsia" w:hAnsi="宋体" w:eastAsia="宋体" w:cs="宋体"/>
          <w:bCs/>
        </w:rPr>
        <w:t>“</w:t>
      </w:r>
      <w:r>
        <w:rPr>
          <w:rFonts w:ascii="Times New Roman" w:hAnsi="Times New Roman" w:eastAsia="黑体"/>
          <w:bCs/>
          <w:color w:val="FF0000"/>
          <w:u w:val="single"/>
        </w:rPr>
        <w:t>第22条</w:t>
      </w:r>
      <w:r>
        <w:rPr>
          <w:rFonts w:hint="eastAsia" w:ascii="Times New Roman" w:hAnsi="Times New Roman" w:eastAsia="黑体"/>
          <w:bCs/>
          <w:color w:val="FF0000"/>
          <w:u w:val="single"/>
        </w:rPr>
        <w:t xml:space="preserve"> </w:t>
      </w:r>
      <w:r>
        <w:rPr>
          <w:rFonts w:ascii="Times New Roman" w:hAnsi="Times New Roman" w:eastAsia="黑体"/>
          <w:bCs/>
          <w:color w:val="FF0000"/>
          <w:u w:val="single"/>
        </w:rPr>
        <w:t xml:space="preserve"> </w:t>
      </w:r>
      <w:r>
        <w:rPr>
          <w:rFonts w:hint="eastAsia" w:ascii="Times New Roman" w:hAnsi="Times New Roman" w:eastAsia="黑体"/>
          <w:bCs/>
          <w:color w:val="FF0000"/>
          <w:u w:val="single"/>
        </w:rPr>
        <w:t>达到的能效设计指数（</w:t>
      </w:r>
      <w:r>
        <w:rPr>
          <w:rFonts w:ascii="Times New Roman" w:hAnsi="Times New Roman" w:eastAsia="黑体"/>
          <w:bCs/>
          <w:color w:val="FF0000"/>
          <w:u w:val="single"/>
        </w:rPr>
        <w:t>Attained EEDI</w:t>
      </w:r>
      <w:r>
        <w:rPr>
          <w:rFonts w:hint="eastAsia" w:ascii="Times New Roman" w:hAnsi="Times New Roman" w:eastAsia="黑体"/>
          <w:bCs/>
          <w:color w:val="FF0000"/>
          <w:u w:val="single"/>
        </w:rPr>
        <w:t>）</w:t>
      </w:r>
      <w:bookmarkEnd w:id="92"/>
    </w:p>
    <w:p>
      <w:pPr>
        <w:pStyle w:val="10"/>
        <w:rPr>
          <w:rFonts w:ascii="Times New Roman" w:hAnsi="Times New Roman"/>
          <w:strike/>
          <w:color w:val="FF0000"/>
          <w:lang w:bidi="ar"/>
        </w:rPr>
      </w:pPr>
    </w:p>
    <w:p>
      <w:pPr>
        <w:pStyle w:val="10"/>
        <w:ind w:firstLine="420"/>
        <w:rPr>
          <w:rFonts w:ascii="Times New Roman" w:hAnsi="Times New Roman"/>
          <w:lang w:bidi="ar"/>
        </w:rPr>
      </w:pPr>
      <w:r>
        <w:rPr>
          <w:rFonts w:ascii="Times New Roman" w:hAnsi="Times New Roman"/>
          <w:lang w:bidi="ar"/>
        </w:rPr>
        <w:t>1  应对下列船舶计算Attained EEDI：</w:t>
      </w:r>
    </w:p>
    <w:p>
      <w:pPr>
        <w:pStyle w:val="10"/>
        <w:ind w:left="1108" w:leftChars="330" w:hanging="415" w:hangingChars="198"/>
        <w:rPr>
          <w:rFonts w:ascii="Times New Roman" w:hAnsi="Times New Roman"/>
          <w:lang w:bidi="ar"/>
        </w:rPr>
      </w:pPr>
      <w:r>
        <w:rPr>
          <w:rFonts w:ascii="Times New Roman" w:hAnsi="Times New Roman"/>
          <w:lang w:bidi="ar"/>
        </w:rPr>
        <w:t>.1  每艘新船；</w:t>
      </w:r>
    </w:p>
    <w:p>
      <w:pPr>
        <w:pStyle w:val="10"/>
        <w:ind w:left="1108" w:leftChars="330" w:hanging="415" w:hangingChars="198"/>
        <w:rPr>
          <w:rFonts w:ascii="Times New Roman" w:hAnsi="Times New Roman"/>
          <w:lang w:bidi="ar"/>
        </w:rPr>
      </w:pPr>
      <w:r>
        <w:rPr>
          <w:rFonts w:ascii="Times New Roman" w:hAnsi="Times New Roman"/>
          <w:lang w:bidi="ar"/>
        </w:rPr>
        <w:t>.2  每艘经过重大改建的新船；和</w:t>
      </w:r>
    </w:p>
    <w:p>
      <w:pPr>
        <w:pStyle w:val="10"/>
        <w:ind w:left="1108" w:leftChars="330" w:hanging="415" w:hangingChars="198"/>
        <w:rPr>
          <w:rFonts w:ascii="Times New Roman" w:hAnsi="Times New Roman"/>
          <w:lang w:bidi="ar"/>
        </w:rPr>
      </w:pPr>
      <w:r>
        <w:rPr>
          <w:rFonts w:ascii="Times New Roman" w:hAnsi="Times New Roman"/>
          <w:lang w:bidi="ar"/>
        </w:rPr>
        <w:t>.3  每艘经过重大改建的、且因改建范围过大而被主管机关视为新造船舶的新船或现有船舶</w:t>
      </w:r>
    </w:p>
    <w:p>
      <w:pPr>
        <w:tabs>
          <w:tab w:val="left" w:pos="851"/>
          <w:tab w:val="left" w:pos="1276"/>
        </w:tabs>
        <w:ind w:firstLine="420" w:firstLineChars="200"/>
        <w:rPr>
          <w:szCs w:val="21"/>
        </w:rPr>
      </w:pPr>
      <w:r>
        <w:rPr>
          <w:szCs w:val="21"/>
          <w:lang w:bidi="ar"/>
        </w:rPr>
        <w:t>且其属于本</w:t>
      </w:r>
      <w:r>
        <w:rPr>
          <w:rFonts w:hint="eastAsia"/>
          <w:szCs w:val="21"/>
          <w:lang w:bidi="ar"/>
        </w:rPr>
        <w:t>章</w:t>
      </w:r>
      <w:r>
        <w:rPr>
          <w:szCs w:val="21"/>
          <w:lang w:bidi="ar"/>
        </w:rPr>
        <w:t>第2.2.5、2.2.7、2.2.9、2.2.11、2.2.14 至 2.2.16、2.2.20、2.2.22和2.2.26 至 2.2.29条所</w:t>
      </w:r>
      <w:r>
        <w:rPr>
          <w:szCs w:val="21"/>
        </w:rPr>
        <w:t>定义的一种或多种类别</w:t>
      </w:r>
      <w:r>
        <w:rPr>
          <w:kern w:val="0"/>
          <w:szCs w:val="21"/>
        </w:rPr>
        <w:t>。Attained EEDI应具体到各船舶，并应表征船舶能效方面的性能，且附有包含计算Attained EEDI所必要的信息和计算过程的EEDI技术案卷。Attained EEDI应经主管机关或经其正式授权的任一组织</w:t>
      </w:r>
      <w:r>
        <w:rPr>
          <w:szCs w:val="21"/>
          <w:vertAlign w:val="superscript"/>
        </w:rPr>
        <w:footnoteReference w:id="29"/>
      </w:r>
      <w:r>
        <w:rPr>
          <w:kern w:val="0"/>
          <w:szCs w:val="21"/>
        </w:rPr>
        <w:t>基于EEDI技术案卷进行验证。</w:t>
      </w:r>
    </w:p>
    <w:p>
      <w:pPr>
        <w:pStyle w:val="10"/>
        <w:ind w:firstLine="420"/>
        <w:rPr>
          <w:rFonts w:ascii="Times New Roman" w:hAnsi="Times New Roman"/>
          <w:lang w:bidi="ar"/>
        </w:rPr>
      </w:pPr>
      <w:r>
        <w:rPr>
          <w:rFonts w:ascii="Times New Roman" w:hAnsi="Times New Roman"/>
          <w:lang w:bidi="ar"/>
        </w:rPr>
        <w:t>2  Attained EEDI应按</w:t>
      </w:r>
      <w:r>
        <w:rPr>
          <w:rFonts w:hint="eastAsia" w:ascii="Times New Roman" w:hAnsi="Times New Roman"/>
          <w:lang w:bidi="ar"/>
        </w:rPr>
        <w:t>国际海事组织</w:t>
      </w:r>
      <w:r>
        <w:rPr>
          <w:rFonts w:ascii="Times New Roman" w:hAnsi="Times New Roman"/>
          <w:lang w:bidi="ar"/>
        </w:rPr>
        <w:t>制定的指南</w:t>
      </w:r>
      <w:r>
        <w:rPr>
          <w:rFonts w:ascii="Times New Roman" w:hAnsi="Times New Roman"/>
          <w:vertAlign w:val="superscript"/>
          <w:lang w:bidi="ar"/>
        </w:rPr>
        <w:footnoteReference w:id="30"/>
      </w:r>
      <w:r>
        <w:rPr>
          <w:rFonts w:ascii="Times New Roman" w:hAnsi="Times New Roman"/>
          <w:lang w:bidi="ar"/>
        </w:rPr>
        <w:t>进行计算。</w:t>
      </w:r>
    </w:p>
    <w:p>
      <w:pPr>
        <w:autoSpaceDE w:val="0"/>
        <w:autoSpaceDN w:val="0"/>
        <w:adjustRightInd w:val="0"/>
        <w:ind w:firstLine="420" w:firstLineChars="200"/>
        <w:rPr>
          <w:szCs w:val="21"/>
        </w:rPr>
      </w:pPr>
      <w:r>
        <w:rPr>
          <w:szCs w:val="21"/>
          <w:lang w:bidi="ar"/>
        </w:rPr>
        <w:t>3  对本</w:t>
      </w:r>
      <w:r>
        <w:rPr>
          <w:rFonts w:hint="eastAsia"/>
          <w:szCs w:val="21"/>
          <w:lang w:bidi="ar"/>
        </w:rPr>
        <w:t>章</w:t>
      </w:r>
      <w:r>
        <w:rPr>
          <w:szCs w:val="21"/>
          <w:lang w:bidi="ar"/>
        </w:rPr>
        <w:t>第24条适用的每艘船舶，主管机关或其正式授权的任何组织应基于</w:t>
      </w:r>
      <w:r>
        <w:rPr>
          <w:rFonts w:hint="eastAsia"/>
          <w:szCs w:val="21"/>
          <w:lang w:bidi="ar"/>
        </w:rPr>
        <w:t>国际海事组织</w:t>
      </w:r>
      <w:r>
        <w:rPr>
          <w:szCs w:val="21"/>
          <w:lang w:bidi="ar"/>
        </w:rPr>
        <w:t>制定的指南</w:t>
      </w:r>
      <w:r>
        <w:rPr>
          <w:vertAlign w:val="superscript"/>
          <w:lang w:bidi="ar"/>
        </w:rPr>
        <w:footnoteReference w:id="31"/>
      </w:r>
      <w:r>
        <w:rPr>
          <w:szCs w:val="21"/>
          <w:lang w:bidi="ar"/>
        </w:rPr>
        <w:t>通</w:t>
      </w:r>
      <w:r>
        <w:rPr>
          <w:szCs w:val="21"/>
        </w:rPr>
        <w:t>过电子通信向</w:t>
      </w:r>
      <w:r>
        <w:rPr>
          <w:rFonts w:hint="eastAsia"/>
          <w:szCs w:val="21"/>
        </w:rPr>
        <w:t>国际海事组织</w:t>
      </w:r>
      <w:r>
        <w:rPr>
          <w:szCs w:val="21"/>
        </w:rPr>
        <w:t>报告</w:t>
      </w:r>
      <w:r>
        <w:rPr>
          <w:rFonts w:hint="eastAsia"/>
          <w:szCs w:val="21"/>
        </w:rPr>
        <w:t>船舶的</w:t>
      </w:r>
      <w:r>
        <w:rPr>
          <w:szCs w:val="21"/>
        </w:rPr>
        <w:t>Required EEDI和Attained EEDI值及相关信息：</w:t>
      </w:r>
    </w:p>
    <w:p>
      <w:pPr>
        <w:pStyle w:val="10"/>
        <w:ind w:left="1108" w:leftChars="330" w:hanging="415" w:hangingChars="198"/>
        <w:rPr>
          <w:rFonts w:ascii="Times New Roman" w:hAnsi="Times New Roman"/>
          <w:lang w:bidi="ar"/>
        </w:rPr>
      </w:pPr>
      <w:r>
        <w:rPr>
          <w:rFonts w:ascii="Times New Roman" w:hAnsi="Times New Roman"/>
          <w:lang w:bidi="ar"/>
        </w:rPr>
        <w:t>.1 在本</w:t>
      </w:r>
      <w:r>
        <w:rPr>
          <w:rFonts w:hint="eastAsia" w:ascii="Times New Roman" w:hAnsi="Times New Roman"/>
          <w:lang w:bidi="ar"/>
        </w:rPr>
        <w:t>章</w:t>
      </w:r>
      <w:r>
        <w:rPr>
          <w:rFonts w:ascii="Times New Roman" w:hAnsi="Times New Roman"/>
          <w:lang w:bidi="ar"/>
        </w:rPr>
        <w:t>第5.4条要求的检验完成的7个月内；或</w:t>
      </w:r>
    </w:p>
    <w:p>
      <w:pPr>
        <w:pStyle w:val="10"/>
        <w:ind w:left="1108" w:leftChars="330" w:hanging="415" w:hangingChars="198"/>
        <w:rPr>
          <w:rFonts w:ascii="Times New Roman" w:hAnsi="Times New Roman"/>
          <w:color w:val="FF0000"/>
          <w:u w:val="single"/>
          <w:lang w:bidi="ar"/>
        </w:rPr>
      </w:pPr>
      <w:r>
        <w:rPr>
          <w:rFonts w:ascii="Times New Roman" w:hAnsi="Times New Roman"/>
          <w:lang w:bidi="ar"/>
        </w:rPr>
        <w:t>.2 对2022年4月1日以前交船的船舶，在2022年4月1日以后的7个月内。</w:t>
      </w:r>
      <w:r>
        <w:rPr>
          <w:rFonts w:hint="eastAsia" w:ascii="Times New Roman" w:hAnsi="Times New Roman"/>
          <w:lang w:bidi="ar"/>
        </w:rPr>
        <w:t>”</w:t>
      </w:r>
    </w:p>
    <w:p>
      <w:pPr>
        <w:adjustRightInd w:val="0"/>
        <w:snapToGrid w:val="0"/>
        <w:ind w:firstLine="440" w:firstLineChars="200"/>
        <w:rPr>
          <w:rFonts w:eastAsia="楷体"/>
          <w:sz w:val="22"/>
          <w:szCs w:val="22"/>
        </w:rPr>
      </w:pPr>
    </w:p>
    <w:p>
      <w:pPr>
        <w:ind w:firstLine="397"/>
        <w:rPr>
          <w:rFonts w:ascii="楷体" w:hAnsi="楷体" w:eastAsia="楷体"/>
        </w:rPr>
      </w:pPr>
      <w:r>
        <w:rPr>
          <w:rFonts w:hint="eastAsia" w:ascii="楷体" w:hAnsi="楷体" w:eastAsia="楷体"/>
        </w:rPr>
        <w:t>新增第23条如下：</w:t>
      </w:r>
    </w:p>
    <w:p>
      <w:pPr>
        <w:pStyle w:val="10"/>
        <w:jc w:val="center"/>
        <w:outlineLvl w:val="3"/>
        <w:rPr>
          <w:rFonts w:ascii="Times New Roman" w:hAnsi="Times New Roman" w:eastAsia="黑体"/>
          <w:bCs/>
          <w:color w:val="FF0000"/>
          <w:u w:val="single"/>
        </w:rPr>
      </w:pPr>
      <w:bookmarkStart w:id="93" w:name="_Toc19954"/>
      <w:r>
        <w:rPr>
          <w:rFonts w:hint="eastAsia" w:hAnsi="宋体" w:eastAsia="宋体" w:cs="宋体"/>
          <w:bCs/>
        </w:rPr>
        <w:t>“</w:t>
      </w:r>
      <w:r>
        <w:rPr>
          <w:rFonts w:ascii="Times New Roman" w:hAnsi="Times New Roman" w:eastAsia="黑体"/>
          <w:bCs/>
          <w:color w:val="FF0000"/>
          <w:u w:val="single"/>
        </w:rPr>
        <w:t>第2</w:t>
      </w:r>
      <w:r>
        <w:rPr>
          <w:rFonts w:hint="eastAsia" w:ascii="Times New Roman" w:hAnsi="Times New Roman" w:eastAsia="黑体"/>
          <w:bCs/>
          <w:color w:val="FF0000"/>
          <w:u w:val="single"/>
        </w:rPr>
        <w:t>3</w:t>
      </w:r>
      <w:r>
        <w:rPr>
          <w:rFonts w:ascii="Times New Roman" w:hAnsi="Times New Roman" w:eastAsia="黑体"/>
          <w:bCs/>
          <w:color w:val="FF0000"/>
          <w:u w:val="single"/>
        </w:rPr>
        <w:t xml:space="preserve">条 </w:t>
      </w:r>
      <w:r>
        <w:rPr>
          <w:rFonts w:hint="eastAsia" w:ascii="Times New Roman" w:hAnsi="Times New Roman" w:eastAsia="黑体"/>
          <w:bCs/>
          <w:color w:val="FF0000"/>
          <w:u w:val="single"/>
        </w:rPr>
        <w:t>现有船舶达到</w:t>
      </w:r>
      <w:r>
        <w:rPr>
          <w:rFonts w:ascii="Times New Roman" w:hAnsi="Times New Roman" w:eastAsia="黑体"/>
          <w:bCs/>
          <w:color w:val="FF0000"/>
          <w:u w:val="single"/>
        </w:rPr>
        <w:t>的能效指数（Attained EE</w:t>
      </w:r>
      <w:r>
        <w:rPr>
          <w:rFonts w:hint="eastAsia" w:ascii="Times New Roman" w:hAnsi="Times New Roman" w:eastAsia="黑体"/>
          <w:bCs/>
          <w:color w:val="FF0000"/>
          <w:u w:val="single"/>
        </w:rPr>
        <w:t>X</w:t>
      </w:r>
      <w:r>
        <w:rPr>
          <w:rFonts w:ascii="Times New Roman" w:hAnsi="Times New Roman" w:eastAsia="黑体"/>
          <w:bCs/>
          <w:color w:val="FF0000"/>
          <w:u w:val="single"/>
        </w:rPr>
        <w:t>I）</w:t>
      </w:r>
      <w:bookmarkEnd w:id="93"/>
    </w:p>
    <w:p>
      <w:pPr>
        <w:pStyle w:val="10"/>
        <w:ind w:firstLine="420"/>
        <w:rPr>
          <w:rFonts w:ascii="Times New Roman" w:hAnsi="Times New Roman"/>
          <w:lang w:bidi="ar"/>
        </w:rPr>
      </w:pPr>
      <w:r>
        <w:rPr>
          <w:rFonts w:ascii="Times New Roman" w:hAnsi="Times New Roman"/>
          <w:lang w:bidi="ar"/>
        </w:rPr>
        <w:t>1  应对下列船舶计算Attained EEXI：</w:t>
      </w:r>
    </w:p>
    <w:p>
      <w:pPr>
        <w:pStyle w:val="10"/>
        <w:ind w:left="1108" w:leftChars="330" w:hanging="415" w:hangingChars="198"/>
        <w:rPr>
          <w:rFonts w:ascii="Times New Roman" w:hAnsi="Times New Roman"/>
          <w:lang w:bidi="ar"/>
        </w:rPr>
      </w:pPr>
      <w:r>
        <w:rPr>
          <w:rFonts w:ascii="Times New Roman" w:hAnsi="Times New Roman"/>
          <w:lang w:bidi="ar"/>
        </w:rPr>
        <w:t>.1  每艘船舶；和</w:t>
      </w:r>
    </w:p>
    <w:p>
      <w:pPr>
        <w:pStyle w:val="10"/>
        <w:ind w:left="1108" w:leftChars="330" w:hanging="415" w:hangingChars="198"/>
        <w:rPr>
          <w:rFonts w:ascii="Times New Roman" w:hAnsi="Times New Roman"/>
          <w:lang w:bidi="ar"/>
        </w:rPr>
      </w:pPr>
      <w:r>
        <w:rPr>
          <w:rFonts w:ascii="Times New Roman" w:hAnsi="Times New Roman"/>
          <w:lang w:bidi="ar"/>
        </w:rPr>
        <w:t xml:space="preserve">.2  每艘经过重大改建的船舶 </w:t>
      </w:r>
    </w:p>
    <w:p>
      <w:pPr>
        <w:tabs>
          <w:tab w:val="left" w:pos="851"/>
          <w:tab w:val="left" w:pos="1276"/>
        </w:tabs>
        <w:ind w:firstLine="420" w:firstLineChars="200"/>
        <w:rPr>
          <w:rFonts w:ascii="Times New Roman" w:hAnsi="Times New Roman" w:cs="Times New Roman"/>
          <w:szCs w:val="21"/>
        </w:rPr>
      </w:pPr>
      <w:r>
        <w:rPr>
          <w:szCs w:val="21"/>
        </w:rPr>
        <w:t>且其属于本</w:t>
      </w:r>
      <w:r>
        <w:rPr>
          <w:rFonts w:hint="eastAsia"/>
          <w:szCs w:val="21"/>
        </w:rPr>
        <w:t>章</w:t>
      </w:r>
      <w:r>
        <w:rPr>
          <w:rFonts w:ascii="Times New Roman" w:hAnsi="Times New Roman" w:cs="Times New Roman"/>
          <w:szCs w:val="21"/>
        </w:rPr>
        <w:t>第2.2.5、2.2.7、2.2.9、2.2.11、2.2.14 至 2.2.16、2.2.22和2.2.26 至 2.2.29条所定义的一种或多种类别</w:t>
      </w:r>
      <w:r>
        <w:rPr>
          <w:rFonts w:ascii="Times New Roman" w:hAnsi="Times New Roman" w:cs="Times New Roman"/>
          <w:kern w:val="0"/>
          <w:szCs w:val="21"/>
        </w:rPr>
        <w:t>。Attained EEXI应具体到各船舶，并应表征船舶能效方面的性能，且附有包含计算Attained EEXI所必要的信息和计算过程的EEXI技术案卷。Attained EEXI应经主管机关或经其正式授权的任一组织</w:t>
      </w:r>
      <w:r>
        <w:rPr>
          <w:rFonts w:ascii="Times New Roman" w:hAnsi="Times New Roman" w:cs="Times New Roman"/>
          <w:szCs w:val="21"/>
          <w:vertAlign w:val="superscript"/>
        </w:rPr>
        <w:footnoteReference w:id="32"/>
      </w:r>
      <w:r>
        <w:rPr>
          <w:rFonts w:ascii="Times New Roman" w:hAnsi="Times New Roman" w:cs="Times New Roman"/>
          <w:kern w:val="0"/>
          <w:szCs w:val="21"/>
        </w:rPr>
        <w:t>基于EEXI技术案卷进行验证。</w:t>
      </w:r>
    </w:p>
    <w:p>
      <w:pPr>
        <w:pStyle w:val="10"/>
        <w:ind w:firstLine="420"/>
        <w:rPr>
          <w:rFonts w:ascii="Times New Roman" w:hAnsi="Times New Roman" w:cs="Times New Roman"/>
          <w:lang w:bidi="ar"/>
        </w:rPr>
      </w:pPr>
      <w:r>
        <w:rPr>
          <w:rFonts w:ascii="Times New Roman" w:hAnsi="Times New Roman" w:cs="Times New Roman"/>
          <w:lang w:bidi="ar"/>
        </w:rPr>
        <w:t>2  Attained EEXI应按</w:t>
      </w:r>
      <w:r>
        <w:rPr>
          <w:rFonts w:ascii="Times New Roman" w:hAnsi="Times New Roman" w:cs="Times New Roman"/>
        </w:rPr>
        <w:t>国际海事组织</w:t>
      </w:r>
      <w:r>
        <w:rPr>
          <w:rFonts w:ascii="Times New Roman" w:hAnsi="Times New Roman" w:cs="Times New Roman"/>
          <w:lang w:bidi="ar"/>
        </w:rPr>
        <w:t>制定的指南</w:t>
      </w:r>
      <w:r>
        <w:rPr>
          <w:rFonts w:ascii="Times New Roman" w:hAnsi="Times New Roman" w:cs="Times New Roman"/>
          <w:vertAlign w:val="superscript"/>
          <w:lang w:bidi="ar"/>
        </w:rPr>
        <w:footnoteReference w:id="33"/>
      </w:r>
      <w:r>
        <w:rPr>
          <w:rFonts w:ascii="Times New Roman" w:hAnsi="Times New Roman" w:cs="Times New Roman"/>
          <w:lang w:bidi="ar"/>
        </w:rPr>
        <w:t>进行计算。</w:t>
      </w:r>
    </w:p>
    <w:p>
      <w:pPr>
        <w:pStyle w:val="10"/>
        <w:ind w:firstLine="420"/>
        <w:rPr>
          <w:rFonts w:ascii="Times New Roman" w:hAnsi="Times New Roman"/>
          <w:color w:val="FF0000"/>
          <w:u w:val="single"/>
          <w:lang w:bidi="ar"/>
        </w:rPr>
      </w:pPr>
      <w:r>
        <w:rPr>
          <w:rFonts w:ascii="Times New Roman" w:hAnsi="Times New Roman" w:cs="Times New Roman"/>
          <w:lang w:bidi="ar"/>
        </w:rPr>
        <w:t>3  尽管有本条1的规定，对于本章第22条适用的每一艘船舶，如果其经主管机关或经其正式授权的任一组织按本章第22.1条验证的Attained EEDI值等于或小于本章第25条要求的Required EEXI值，则其可被作为Attained EEXI。在这种情况下，应基于EEDI技术案卷对Attained EEXI进行</w:t>
      </w:r>
      <w:r>
        <w:rPr>
          <w:rFonts w:ascii="Times New Roman" w:hAnsi="Times New Roman"/>
          <w:lang w:bidi="ar"/>
        </w:rPr>
        <w:t>验证。</w:t>
      </w:r>
      <w:r>
        <w:rPr>
          <w:rFonts w:hint="eastAsia" w:ascii="Times New Roman" w:hAnsi="Times New Roman"/>
          <w:lang w:bidi="ar"/>
        </w:rPr>
        <w:t>”</w:t>
      </w:r>
    </w:p>
    <w:p>
      <w:pPr>
        <w:pStyle w:val="10"/>
        <w:rPr>
          <w:rFonts w:ascii="楷体" w:hAnsi="楷体" w:eastAsia="楷体" w:cs="楷体"/>
          <w:snapToGrid w:val="0"/>
          <w:color w:val="0000FF"/>
          <w:kern w:val="0"/>
        </w:rPr>
      </w:pPr>
    </w:p>
    <w:p>
      <w:pPr>
        <w:ind w:firstLine="397"/>
        <w:rPr>
          <w:rFonts w:ascii="楷体" w:hAnsi="楷体" w:eastAsia="楷体"/>
        </w:rPr>
      </w:pPr>
      <w:r>
        <w:rPr>
          <w:rFonts w:hint="eastAsia" w:ascii="楷体" w:hAnsi="楷体" w:eastAsia="楷体"/>
        </w:rPr>
        <w:t>新增第24条如下：</w:t>
      </w:r>
    </w:p>
    <w:p>
      <w:pPr>
        <w:pStyle w:val="10"/>
        <w:jc w:val="center"/>
        <w:outlineLvl w:val="3"/>
        <w:rPr>
          <w:rFonts w:ascii="Times New Roman" w:hAnsi="Times New Roman" w:eastAsia="黑体"/>
          <w:bCs/>
          <w:color w:val="FF0000"/>
        </w:rPr>
      </w:pPr>
      <w:bookmarkStart w:id="94" w:name="_Toc10747"/>
      <w:r>
        <w:rPr>
          <w:rFonts w:hint="eastAsia" w:hAnsi="宋体" w:eastAsia="宋体" w:cs="宋体"/>
          <w:bCs/>
        </w:rPr>
        <w:t>“</w:t>
      </w:r>
      <w:r>
        <w:rPr>
          <w:rFonts w:hint="eastAsia" w:ascii="Times New Roman" w:hAnsi="Times New Roman" w:eastAsia="黑体"/>
          <w:bCs/>
          <w:color w:val="FF0000"/>
          <w:u w:val="single"/>
        </w:rPr>
        <w:t xml:space="preserve">第24条 </w:t>
      </w:r>
      <w:r>
        <w:rPr>
          <w:rFonts w:ascii="Times New Roman" w:hAnsi="Times New Roman" w:eastAsia="黑体"/>
          <w:bCs/>
          <w:color w:val="FF0000"/>
          <w:u w:val="single"/>
        </w:rPr>
        <w:t xml:space="preserve"> </w:t>
      </w:r>
      <w:r>
        <w:rPr>
          <w:rFonts w:hint="eastAsia" w:ascii="Times New Roman" w:hAnsi="Times New Roman" w:eastAsia="黑体"/>
          <w:bCs/>
          <w:color w:val="FF0000"/>
          <w:u w:val="single"/>
        </w:rPr>
        <w:t>要求的能效设计指数（</w:t>
      </w:r>
      <w:r>
        <w:rPr>
          <w:rFonts w:ascii="Times New Roman" w:hAnsi="Times New Roman" w:eastAsia="黑体"/>
          <w:bCs/>
          <w:color w:val="FF0000"/>
          <w:u w:val="single"/>
        </w:rPr>
        <w:t>Required EEDI</w:t>
      </w:r>
      <w:r>
        <w:rPr>
          <w:rFonts w:hint="eastAsia" w:ascii="Times New Roman" w:hAnsi="Times New Roman" w:eastAsia="黑体"/>
          <w:bCs/>
          <w:color w:val="FF0000"/>
          <w:u w:val="single"/>
        </w:rPr>
        <w:t>）</w:t>
      </w:r>
      <w:bookmarkEnd w:id="94"/>
    </w:p>
    <w:p>
      <w:pPr>
        <w:pStyle w:val="10"/>
        <w:rPr>
          <w:rFonts w:ascii="Times New Roman" w:hAnsi="Times New Roman"/>
          <w:strike/>
          <w:color w:val="FF0000"/>
          <w:lang w:bidi="ar"/>
        </w:rPr>
      </w:pPr>
    </w:p>
    <w:p>
      <w:pPr>
        <w:pStyle w:val="10"/>
        <w:ind w:firstLine="420"/>
        <w:rPr>
          <w:rFonts w:ascii="Times New Roman" w:hAnsi="Times New Roman"/>
          <w:lang w:bidi="ar"/>
        </w:rPr>
      </w:pPr>
      <w:r>
        <w:rPr>
          <w:rFonts w:ascii="Times New Roman" w:hAnsi="Times New Roman"/>
          <w:lang w:bidi="ar"/>
        </w:rPr>
        <w:t>1  对下列每艘：</w:t>
      </w:r>
    </w:p>
    <w:p>
      <w:pPr>
        <w:pStyle w:val="10"/>
        <w:ind w:left="1108" w:leftChars="330" w:hanging="415" w:hangingChars="198"/>
        <w:rPr>
          <w:rFonts w:ascii="Times New Roman" w:hAnsi="Times New Roman"/>
          <w:lang w:bidi="ar"/>
        </w:rPr>
      </w:pPr>
      <w:r>
        <w:rPr>
          <w:rFonts w:ascii="Times New Roman" w:hAnsi="Times New Roman"/>
          <w:lang w:bidi="ar"/>
        </w:rPr>
        <w:t xml:space="preserve">.1  </w:t>
      </w:r>
      <w:r>
        <w:rPr>
          <w:rFonts w:hint="eastAsia" w:ascii="Times New Roman" w:hAnsi="Times New Roman"/>
          <w:lang w:bidi="ar"/>
        </w:rPr>
        <w:t>新船；</w:t>
      </w:r>
    </w:p>
    <w:p>
      <w:pPr>
        <w:pStyle w:val="10"/>
        <w:ind w:left="1108" w:leftChars="330" w:hanging="415" w:hangingChars="198"/>
        <w:rPr>
          <w:rFonts w:ascii="Times New Roman" w:hAnsi="Times New Roman"/>
          <w:lang w:bidi="ar"/>
        </w:rPr>
      </w:pPr>
      <w:r>
        <w:rPr>
          <w:rFonts w:ascii="Times New Roman" w:hAnsi="Times New Roman"/>
          <w:lang w:bidi="ar"/>
        </w:rPr>
        <w:t xml:space="preserve">.2  </w:t>
      </w:r>
      <w:r>
        <w:rPr>
          <w:rFonts w:hint="eastAsia" w:ascii="Times New Roman" w:hAnsi="Times New Roman"/>
          <w:lang w:bidi="ar"/>
        </w:rPr>
        <w:t>经过重大改建的新船；和</w:t>
      </w:r>
    </w:p>
    <w:p>
      <w:pPr>
        <w:pStyle w:val="10"/>
        <w:ind w:left="1108" w:leftChars="330" w:hanging="415" w:hangingChars="198"/>
        <w:rPr>
          <w:rFonts w:ascii="Times New Roman" w:hAnsi="Times New Roman"/>
          <w:lang w:bidi="ar"/>
        </w:rPr>
      </w:pPr>
      <w:r>
        <w:rPr>
          <w:rFonts w:hint="eastAsia" w:ascii="Times New Roman" w:hAnsi="Times New Roman"/>
          <w:lang w:bidi="ar"/>
        </w:rPr>
        <w:t>.3  经过重大改建的、且因改建范围过大而被主管机关视为新造船舶的新船或现有船舶</w:t>
      </w:r>
    </w:p>
    <w:p>
      <w:pPr>
        <w:pStyle w:val="10"/>
        <w:ind w:firstLine="420"/>
        <w:rPr>
          <w:rFonts w:ascii="Times New Roman" w:hAnsi="Times New Roman"/>
          <w:lang w:bidi="ar"/>
        </w:rPr>
      </w:pPr>
      <w:r>
        <w:rPr>
          <w:rFonts w:hint="eastAsia" w:ascii="Times New Roman" w:hAnsi="Times New Roman"/>
          <w:lang w:bidi="ar"/>
        </w:rPr>
        <w:t>且其</w:t>
      </w:r>
      <w:r>
        <w:rPr>
          <w:rFonts w:ascii="Times New Roman" w:hAnsi="Times New Roman"/>
          <w:lang w:bidi="ar"/>
        </w:rPr>
        <w:t>属于第2.2.5</w:t>
      </w:r>
      <w:r>
        <w:rPr>
          <w:rFonts w:hint="eastAsia" w:ascii="Times New Roman" w:hAnsi="Times New Roman"/>
          <w:lang w:bidi="ar"/>
        </w:rPr>
        <w:t>、</w:t>
      </w:r>
      <w:r>
        <w:rPr>
          <w:rFonts w:ascii="Times New Roman" w:hAnsi="Times New Roman"/>
          <w:lang w:bidi="ar"/>
        </w:rPr>
        <w:t>2.2.7</w:t>
      </w:r>
      <w:r>
        <w:rPr>
          <w:rFonts w:hint="eastAsia" w:ascii="Times New Roman" w:hAnsi="Times New Roman"/>
          <w:lang w:bidi="ar"/>
        </w:rPr>
        <w:t>、</w:t>
      </w:r>
      <w:r>
        <w:rPr>
          <w:rFonts w:ascii="Times New Roman" w:hAnsi="Times New Roman"/>
          <w:lang w:bidi="ar"/>
        </w:rPr>
        <w:t>2.2.9</w:t>
      </w:r>
      <w:r>
        <w:rPr>
          <w:rFonts w:hint="eastAsia" w:ascii="Times New Roman" w:hAnsi="Times New Roman"/>
          <w:lang w:bidi="ar"/>
        </w:rPr>
        <w:t>、</w:t>
      </w:r>
      <w:r>
        <w:rPr>
          <w:rFonts w:ascii="Times New Roman" w:hAnsi="Times New Roman"/>
          <w:lang w:bidi="ar"/>
        </w:rPr>
        <w:t>2.2.11</w:t>
      </w:r>
      <w:r>
        <w:rPr>
          <w:rFonts w:hint="eastAsia" w:ascii="Times New Roman" w:hAnsi="Times New Roman"/>
          <w:lang w:bidi="ar"/>
        </w:rPr>
        <w:t>、</w:t>
      </w:r>
      <w:r>
        <w:rPr>
          <w:rFonts w:ascii="Times New Roman" w:hAnsi="Times New Roman"/>
          <w:lang w:bidi="ar"/>
        </w:rPr>
        <w:t xml:space="preserve">2.2.14 </w:t>
      </w:r>
      <w:r>
        <w:rPr>
          <w:rFonts w:hint="eastAsia" w:ascii="Times New Roman" w:hAnsi="Times New Roman"/>
          <w:lang w:bidi="ar"/>
        </w:rPr>
        <w:t>至</w:t>
      </w:r>
      <w:r>
        <w:rPr>
          <w:rFonts w:ascii="Times New Roman" w:hAnsi="Times New Roman"/>
          <w:lang w:bidi="ar"/>
        </w:rPr>
        <w:t xml:space="preserve"> 2.2.16</w:t>
      </w:r>
      <w:r>
        <w:rPr>
          <w:rFonts w:hint="eastAsia" w:ascii="Times New Roman" w:hAnsi="Times New Roman"/>
          <w:lang w:bidi="ar"/>
        </w:rPr>
        <w:t>、</w:t>
      </w:r>
      <w:r>
        <w:rPr>
          <w:rFonts w:ascii="Times New Roman" w:hAnsi="Times New Roman"/>
          <w:lang w:bidi="ar"/>
        </w:rPr>
        <w:t>2.2.22</w:t>
      </w:r>
      <w:r>
        <w:rPr>
          <w:rFonts w:hint="eastAsia" w:ascii="Times New Roman" w:hAnsi="Times New Roman"/>
          <w:lang w:bidi="ar"/>
        </w:rPr>
        <w:t>和</w:t>
      </w:r>
      <w:r>
        <w:rPr>
          <w:rFonts w:ascii="Times New Roman" w:hAnsi="Times New Roman"/>
          <w:lang w:bidi="ar"/>
        </w:rPr>
        <w:t xml:space="preserve"> 2.2.26</w:t>
      </w:r>
      <w:r>
        <w:rPr>
          <w:rFonts w:hint="eastAsia" w:ascii="Times New Roman" w:hAnsi="Times New Roman"/>
          <w:lang w:bidi="ar"/>
        </w:rPr>
        <w:t>至</w:t>
      </w:r>
      <w:r>
        <w:rPr>
          <w:rFonts w:ascii="Times New Roman" w:hAnsi="Times New Roman"/>
          <w:lang w:bidi="ar"/>
        </w:rPr>
        <w:t>2.2.29条所定义的类别之一且适用于本章</w:t>
      </w:r>
      <w:r>
        <w:rPr>
          <w:rFonts w:hint="eastAsia" w:ascii="Times New Roman" w:hAnsi="Times New Roman"/>
          <w:lang w:bidi="ar"/>
        </w:rPr>
        <w:t>，其A</w:t>
      </w:r>
      <w:r>
        <w:rPr>
          <w:rFonts w:ascii="Times New Roman" w:hAnsi="Times New Roman"/>
          <w:lang w:bidi="ar"/>
        </w:rPr>
        <w:t>ttained EEDI</w:t>
      </w:r>
      <w:r>
        <w:rPr>
          <w:rFonts w:hint="eastAsia" w:ascii="Times New Roman" w:hAnsi="Times New Roman"/>
          <w:lang w:bidi="ar"/>
        </w:rPr>
        <w:t>应满足：</w:t>
      </w:r>
    </w:p>
    <w:p>
      <w:pPr>
        <w:autoSpaceDE w:val="0"/>
        <w:autoSpaceDN w:val="0"/>
        <w:adjustRightInd w:val="0"/>
        <w:spacing w:after="50"/>
        <w:rPr>
          <w:rFonts w:ascii="宋体" w:hAnsi="TimesNewRomanPSMT" w:cs="宋体"/>
          <w:kern w:val="0"/>
          <w:szCs w:val="21"/>
        </w:rPr>
      </w:pPr>
      <w:r>
        <w:rPr>
          <w:rFonts w:hint="eastAsia" w:ascii="宋体" w:hAnsi="TimesNewRomanPSMT" w:cs="宋体"/>
          <w:kern w:val="0"/>
          <w:szCs w:val="21"/>
        </w:rPr>
        <w:t xml:space="preserve">           </w:t>
      </w:r>
      <w:r>
        <w:rPr>
          <w:rFonts w:ascii="TimesNewRomanPSMT" w:hAnsi="TimesNewRomanPSMT" w:cs="TimesNewRomanPSMT"/>
          <w:kern w:val="0"/>
          <w:szCs w:val="21"/>
        </w:rPr>
        <w:t xml:space="preserve">Attained EEDI </w:t>
      </w:r>
      <w:r>
        <w:rPr>
          <w:kern w:val="0"/>
          <w:szCs w:val="21"/>
        </w:rPr>
        <w:t>≤</w:t>
      </w:r>
      <w:r>
        <w:rPr>
          <w:rFonts w:ascii="宋体" w:hAnsi="TimesNewRomanPSMT" w:cs="宋体"/>
          <w:kern w:val="0"/>
          <w:szCs w:val="21"/>
        </w:rPr>
        <w:t xml:space="preserve"> </w:t>
      </w:r>
      <w:r>
        <w:rPr>
          <w:rFonts w:ascii="TimesNewRomanPSMT" w:hAnsi="TimesNewRomanPSMT" w:cs="TimesNewRomanPSMT"/>
          <w:kern w:val="0"/>
          <w:szCs w:val="21"/>
        </w:rPr>
        <w:t>Required EEDI = (1-</w:t>
      </w:r>
      <w:r>
        <w:rPr>
          <w:rFonts w:ascii="TimesNewRomanPSMT" w:hAnsi="TimesNewRomanPSMT" w:cs="TimesNewRomanPSMT"/>
          <w:kern w:val="0"/>
          <w:position w:val="-22"/>
          <w:szCs w:val="21"/>
        </w:rPr>
        <w:object>
          <v:shape id="_x0000_i1025" o:spt="75" type="#_x0000_t75" style="height:27.6pt;width:20.1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ascii="TimesNewRomanPSMT" w:hAnsi="TimesNewRomanPSMT" w:cs="TimesNewRomanPSMT"/>
          <w:kern w:val="0"/>
          <w:szCs w:val="21"/>
        </w:rPr>
        <w:t>)</w:t>
      </w:r>
      <w:r>
        <w:rPr>
          <w:rFonts w:hint="eastAsia" w:ascii="TimesNewRomanPSMT" w:hAnsi="TimesNewRomanPSMT" w:cs="TimesNewRomanPSMT"/>
          <w:kern w:val="0"/>
          <w:szCs w:val="21"/>
        </w:rPr>
        <w:t>·</w:t>
      </w:r>
      <w:r>
        <w:rPr>
          <w:rFonts w:hint="eastAsia" w:ascii="宋体" w:hAnsi="TimesNewRomanPSMT" w:cs="宋体"/>
          <w:kern w:val="0"/>
          <w:szCs w:val="21"/>
        </w:rPr>
        <w:t>基线值</w:t>
      </w:r>
    </w:p>
    <w:p>
      <w:pPr>
        <w:pStyle w:val="10"/>
        <w:ind w:firstLine="420"/>
        <w:rPr>
          <w:rFonts w:ascii="Times New Roman" w:hAnsi="Times New Roman"/>
          <w:lang w:bidi="ar"/>
        </w:rPr>
      </w:pPr>
      <w:r>
        <w:rPr>
          <w:rFonts w:hint="eastAsia" w:ascii="Times New Roman" w:hAnsi="Times New Roman"/>
          <w:lang w:bidi="ar"/>
        </w:rPr>
        <w:t xml:space="preserve">       式中，</w:t>
      </w:r>
      <w:r>
        <w:rPr>
          <w:rFonts w:ascii="Times New Roman" w:hAnsi="Times New Roman"/>
          <w:lang w:bidi="ar"/>
        </w:rPr>
        <w:t>X</w:t>
      </w:r>
      <w:r>
        <w:rPr>
          <w:rFonts w:hint="eastAsia" w:ascii="Times New Roman" w:hAnsi="Times New Roman"/>
          <w:lang w:bidi="ar"/>
        </w:rPr>
        <w:t>为表</w:t>
      </w:r>
      <w:r>
        <w:rPr>
          <w:rFonts w:ascii="Times New Roman" w:hAnsi="Times New Roman"/>
          <w:lang w:bidi="ar"/>
        </w:rPr>
        <w:t>1</w:t>
      </w:r>
      <w:r>
        <w:rPr>
          <w:rFonts w:hint="eastAsia" w:ascii="Times New Roman" w:hAnsi="Times New Roman"/>
          <w:lang w:bidi="ar"/>
        </w:rPr>
        <w:t>所规定的</w:t>
      </w:r>
      <w:r>
        <w:rPr>
          <w:rFonts w:ascii="Times New Roman" w:hAnsi="Times New Roman"/>
          <w:lang w:bidi="ar"/>
        </w:rPr>
        <w:t>Required EEDI</w:t>
      </w:r>
      <w:r>
        <w:rPr>
          <w:rFonts w:hint="eastAsia" w:ascii="Times New Roman" w:hAnsi="Times New Roman"/>
          <w:lang w:bidi="ar"/>
        </w:rPr>
        <w:t>相对于</w:t>
      </w:r>
      <w:r>
        <w:rPr>
          <w:rFonts w:ascii="Times New Roman" w:hAnsi="Times New Roman"/>
          <w:lang w:bidi="ar"/>
        </w:rPr>
        <w:t>EEDI</w:t>
      </w:r>
      <w:r>
        <w:rPr>
          <w:rFonts w:hint="eastAsia" w:ascii="Times New Roman" w:hAnsi="Times New Roman"/>
          <w:lang w:bidi="ar"/>
        </w:rPr>
        <w:t>基线的折减系数。</w:t>
      </w:r>
    </w:p>
    <w:p>
      <w:pPr>
        <w:pStyle w:val="10"/>
        <w:ind w:firstLine="420"/>
        <w:rPr>
          <w:rFonts w:ascii="Times New Roman" w:hAnsi="Times New Roman"/>
          <w:lang w:bidi="ar"/>
        </w:rPr>
      </w:pPr>
      <w:r>
        <w:rPr>
          <w:rFonts w:ascii="Times New Roman" w:hAnsi="Times New Roman"/>
          <w:lang w:bidi="ar"/>
        </w:rPr>
        <w:t xml:space="preserve">2 </w:t>
      </w:r>
      <w:r>
        <w:rPr>
          <w:rFonts w:hint="eastAsia" w:ascii="Times New Roman" w:hAnsi="Times New Roman"/>
          <w:lang w:bidi="ar"/>
        </w:rPr>
        <w:t xml:space="preserve"> </w:t>
      </w:r>
      <w:r>
        <w:rPr>
          <w:rFonts w:ascii="Times New Roman" w:hAnsi="Times New Roman"/>
          <w:lang w:bidi="ar"/>
        </w:rPr>
        <w:t>对于每艘经过重大改建的、且因改建范围过大而被主管机关视为新造船</w:t>
      </w:r>
      <w:r>
        <w:rPr>
          <w:rFonts w:hint="eastAsia" w:ascii="Times New Roman" w:hAnsi="Times New Roman"/>
          <w:lang w:bidi="ar"/>
        </w:rPr>
        <w:t>舶</w:t>
      </w:r>
      <w:r>
        <w:rPr>
          <w:rFonts w:ascii="Times New Roman" w:hAnsi="Times New Roman"/>
          <w:lang w:bidi="ar"/>
        </w:rPr>
        <w:t>的新船或现有船</w:t>
      </w:r>
      <w:r>
        <w:rPr>
          <w:rFonts w:hint="eastAsia" w:ascii="Times New Roman" w:hAnsi="Times New Roman"/>
          <w:lang w:bidi="ar"/>
        </w:rPr>
        <w:t>舶</w:t>
      </w:r>
      <w:r>
        <w:rPr>
          <w:rFonts w:ascii="Times New Roman" w:hAnsi="Times New Roman"/>
          <w:lang w:bidi="ar"/>
        </w:rPr>
        <w:t>，应计算Attained EEDI</w:t>
      </w:r>
      <w:r>
        <w:rPr>
          <w:rFonts w:hint="eastAsia" w:ascii="Times New Roman" w:hAnsi="Times New Roman"/>
          <w:lang w:bidi="ar"/>
        </w:rPr>
        <w:t>并</w:t>
      </w:r>
      <w:r>
        <w:rPr>
          <w:rFonts w:ascii="Times New Roman" w:hAnsi="Times New Roman"/>
          <w:lang w:bidi="ar"/>
        </w:rPr>
        <w:t>应符合</w:t>
      </w:r>
      <w:r>
        <w:rPr>
          <w:rFonts w:hint="eastAsia" w:ascii="Times New Roman" w:hAnsi="Times New Roman"/>
          <w:lang w:bidi="ar"/>
        </w:rPr>
        <w:t>本条1</w:t>
      </w:r>
      <w:r>
        <w:rPr>
          <w:rFonts w:ascii="Times New Roman" w:hAnsi="Times New Roman"/>
          <w:lang w:bidi="ar"/>
        </w:rPr>
        <w:t>的要求，</w:t>
      </w:r>
      <w:r>
        <w:rPr>
          <w:rFonts w:hint="eastAsia" w:ascii="Times New Roman" w:hAnsi="Times New Roman"/>
          <w:lang w:bidi="ar"/>
        </w:rPr>
        <w:t>其折减系数取</w:t>
      </w:r>
      <w:r>
        <w:rPr>
          <w:rFonts w:ascii="Times New Roman" w:hAnsi="Times New Roman"/>
          <w:lang w:bidi="ar"/>
        </w:rPr>
        <w:t>签订改建合同之日</w:t>
      </w:r>
      <w:r>
        <w:rPr>
          <w:rFonts w:hint="eastAsia" w:ascii="Times New Roman" w:hAnsi="Times New Roman"/>
          <w:lang w:bidi="ar"/>
        </w:rPr>
        <w:t>，</w:t>
      </w:r>
      <w:r>
        <w:rPr>
          <w:rFonts w:ascii="Times New Roman" w:hAnsi="Times New Roman"/>
          <w:lang w:bidi="ar"/>
        </w:rPr>
        <w:t>或无合同情况下的改建开始之日所适用的对应于</w:t>
      </w:r>
      <w:r>
        <w:rPr>
          <w:rFonts w:hint="eastAsia" w:ascii="Times New Roman" w:hAnsi="Times New Roman"/>
          <w:lang w:bidi="ar"/>
        </w:rPr>
        <w:t>该</w:t>
      </w:r>
      <w:r>
        <w:rPr>
          <w:rFonts w:ascii="Times New Roman" w:hAnsi="Times New Roman"/>
          <w:lang w:bidi="ar"/>
        </w:rPr>
        <w:t>改建船舶船型和尺度的折减系数。</w:t>
      </w:r>
    </w:p>
    <w:p>
      <w:pPr>
        <w:pStyle w:val="10"/>
        <w:ind w:firstLine="422" w:firstLineChars="200"/>
        <w:jc w:val="center"/>
        <w:rPr>
          <w:rFonts w:ascii="Times New Roman" w:hAnsi="Times New Roman"/>
          <w:b/>
          <w:bCs/>
        </w:rPr>
      </w:pPr>
    </w:p>
    <w:p>
      <w:pPr>
        <w:pStyle w:val="10"/>
        <w:ind w:firstLine="422" w:firstLineChars="200"/>
        <w:jc w:val="center"/>
        <w:rPr>
          <w:rFonts w:ascii="Times New Roman" w:hAnsi="Times New Roman"/>
          <w:b/>
          <w:bCs/>
        </w:rPr>
      </w:pPr>
      <w:r>
        <w:rPr>
          <w:rFonts w:ascii="Times New Roman" w:hAnsi="Times New Roman"/>
          <w:b/>
          <w:bCs/>
        </w:rPr>
        <w:t>表1 EEDI相对于EEDI基线的折减系数（百分比）</w:t>
      </w:r>
    </w:p>
    <w:p>
      <w:pPr>
        <w:pStyle w:val="10"/>
        <w:ind w:firstLine="422" w:firstLineChars="200"/>
        <w:jc w:val="center"/>
        <w:rPr>
          <w:rFonts w:ascii="Times New Roman" w:hAnsi="Times New Roman"/>
          <w:b/>
          <w:bCs/>
        </w:rPr>
      </w:pPr>
    </w:p>
    <w:tbl>
      <w:tblPr>
        <w:tblStyle w:val="26"/>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1446"/>
        <w:gridCol w:w="1055"/>
        <w:gridCol w:w="1055"/>
        <w:gridCol w:w="136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shd w:val="clear" w:color="auto" w:fill="auto"/>
            <w:vAlign w:val="center"/>
          </w:tcPr>
          <w:p>
            <w:pPr>
              <w:autoSpaceDE w:val="0"/>
              <w:autoSpaceDN w:val="0"/>
              <w:adjustRightInd w:val="0"/>
              <w:snapToGrid w:val="0"/>
              <w:jc w:val="center"/>
              <w:rPr>
                <w:b/>
                <w:sz w:val="18"/>
                <w:szCs w:val="18"/>
              </w:rPr>
            </w:pPr>
            <w:r>
              <w:rPr>
                <w:rFonts w:hint="eastAsia"/>
                <w:b/>
                <w:sz w:val="18"/>
                <w:szCs w:val="18"/>
              </w:rPr>
              <w:t>船型</w:t>
            </w:r>
          </w:p>
        </w:tc>
        <w:tc>
          <w:tcPr>
            <w:tcW w:w="1446" w:type="dxa"/>
            <w:shd w:val="clear" w:color="auto" w:fill="auto"/>
            <w:vAlign w:val="center"/>
          </w:tcPr>
          <w:p>
            <w:pPr>
              <w:autoSpaceDE w:val="0"/>
              <w:autoSpaceDN w:val="0"/>
              <w:adjustRightInd w:val="0"/>
              <w:snapToGrid w:val="0"/>
              <w:jc w:val="center"/>
              <w:rPr>
                <w:b/>
                <w:sz w:val="18"/>
                <w:szCs w:val="18"/>
              </w:rPr>
            </w:pPr>
            <w:r>
              <w:rPr>
                <w:rFonts w:hint="eastAsia"/>
                <w:b/>
                <w:sz w:val="18"/>
                <w:szCs w:val="18"/>
              </w:rPr>
              <w:t>尺度</w:t>
            </w:r>
          </w:p>
        </w:tc>
        <w:tc>
          <w:tcPr>
            <w:tcW w:w="1055" w:type="dxa"/>
            <w:shd w:val="clear" w:color="auto" w:fill="auto"/>
            <w:vAlign w:val="center"/>
          </w:tcPr>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Phase 0</w:t>
            </w:r>
          </w:p>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2013.1.1-</w:t>
            </w:r>
          </w:p>
          <w:p>
            <w:pPr>
              <w:autoSpaceDE w:val="0"/>
              <w:autoSpaceDN w:val="0"/>
              <w:adjustRightInd w:val="0"/>
              <w:snapToGrid w:val="0"/>
              <w:jc w:val="center"/>
              <w:rPr>
                <w:b/>
                <w:sz w:val="18"/>
                <w:szCs w:val="18"/>
              </w:rPr>
            </w:pPr>
            <w:r>
              <w:rPr>
                <w:rFonts w:ascii="TimesNewRomanPS-BoldMT" w:hAnsi="TimesNewRomanPS-BoldMT" w:cs="TimesNewRomanPS-BoldMT"/>
                <w:b/>
                <w:bCs/>
                <w:kern w:val="0"/>
                <w:sz w:val="18"/>
                <w:szCs w:val="18"/>
              </w:rPr>
              <w:t>2014.12.31</w:t>
            </w:r>
          </w:p>
        </w:tc>
        <w:tc>
          <w:tcPr>
            <w:tcW w:w="1055" w:type="dxa"/>
            <w:shd w:val="clear" w:color="auto" w:fill="auto"/>
            <w:vAlign w:val="center"/>
          </w:tcPr>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Phase 1</w:t>
            </w:r>
          </w:p>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2015.1.1-</w:t>
            </w:r>
          </w:p>
          <w:p>
            <w:pPr>
              <w:autoSpaceDE w:val="0"/>
              <w:autoSpaceDN w:val="0"/>
              <w:adjustRightInd w:val="0"/>
              <w:snapToGrid w:val="0"/>
              <w:jc w:val="center"/>
              <w:rPr>
                <w:b/>
                <w:sz w:val="18"/>
                <w:szCs w:val="18"/>
              </w:rPr>
            </w:pPr>
            <w:r>
              <w:rPr>
                <w:rFonts w:ascii="TimesNewRomanPS-BoldMT" w:hAnsi="TimesNewRomanPS-BoldMT" w:cs="TimesNewRomanPS-BoldMT"/>
                <w:b/>
                <w:bCs/>
                <w:kern w:val="0"/>
                <w:sz w:val="18"/>
                <w:szCs w:val="18"/>
              </w:rPr>
              <w:t>2019.12.31</w:t>
            </w:r>
          </w:p>
        </w:tc>
        <w:tc>
          <w:tcPr>
            <w:tcW w:w="1366" w:type="dxa"/>
            <w:shd w:val="clear" w:color="auto" w:fill="auto"/>
            <w:vAlign w:val="center"/>
          </w:tcPr>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Phase 2</w:t>
            </w:r>
          </w:p>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2020.1.1-</w:t>
            </w:r>
          </w:p>
          <w:p>
            <w:pPr>
              <w:autoSpaceDE w:val="0"/>
              <w:autoSpaceDN w:val="0"/>
              <w:adjustRightInd w:val="0"/>
              <w:snapToGrid w:val="0"/>
              <w:jc w:val="center"/>
              <w:rPr>
                <w:b/>
                <w:sz w:val="18"/>
                <w:szCs w:val="18"/>
              </w:rPr>
            </w:pPr>
            <w:r>
              <w:rPr>
                <w:rFonts w:ascii="TimesNewRomanPS-BoldMT" w:hAnsi="TimesNewRomanPS-BoldMT" w:cs="TimesNewRomanPS-BoldMT"/>
                <w:b/>
                <w:bCs/>
                <w:kern w:val="0"/>
                <w:sz w:val="18"/>
                <w:szCs w:val="18"/>
              </w:rPr>
              <w:t>202</w:t>
            </w:r>
            <w:r>
              <w:rPr>
                <w:rFonts w:hint="eastAsia" w:ascii="TimesNewRomanPS-BoldMT" w:hAnsi="TimesNewRomanPS-BoldMT" w:cs="TimesNewRomanPS-BoldMT"/>
                <w:b/>
                <w:bCs/>
                <w:kern w:val="0"/>
                <w:sz w:val="18"/>
                <w:szCs w:val="18"/>
              </w:rPr>
              <w:t>2</w:t>
            </w:r>
            <w:r>
              <w:rPr>
                <w:rFonts w:ascii="TimesNewRomanPS-BoldMT" w:hAnsi="TimesNewRomanPS-BoldMT" w:cs="TimesNewRomanPS-BoldMT"/>
                <w:b/>
                <w:bCs/>
                <w:kern w:val="0"/>
                <w:sz w:val="18"/>
                <w:szCs w:val="18"/>
              </w:rPr>
              <w:t>.</w:t>
            </w:r>
            <w:r>
              <w:rPr>
                <w:rFonts w:hint="eastAsia" w:ascii="TimesNewRomanPS-BoldMT" w:hAnsi="TimesNewRomanPS-BoldMT" w:cs="TimesNewRomanPS-BoldMT"/>
                <w:b/>
                <w:bCs/>
                <w:kern w:val="0"/>
                <w:sz w:val="18"/>
                <w:szCs w:val="18"/>
              </w:rPr>
              <w:t>3</w:t>
            </w:r>
            <w:r>
              <w:rPr>
                <w:rFonts w:ascii="TimesNewRomanPS-BoldMT" w:hAnsi="TimesNewRomanPS-BoldMT" w:cs="TimesNewRomanPS-BoldMT"/>
                <w:b/>
                <w:bCs/>
                <w:kern w:val="0"/>
                <w:sz w:val="18"/>
                <w:szCs w:val="18"/>
              </w:rPr>
              <w:t>.31</w:t>
            </w:r>
          </w:p>
        </w:tc>
        <w:tc>
          <w:tcPr>
            <w:tcW w:w="1134" w:type="dxa"/>
            <w:shd w:val="clear" w:color="auto" w:fill="auto"/>
            <w:vAlign w:val="center"/>
          </w:tcPr>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Phase 2</w:t>
            </w:r>
          </w:p>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2020.1.1-</w:t>
            </w:r>
          </w:p>
          <w:p>
            <w:pPr>
              <w:autoSpaceDE w:val="0"/>
              <w:autoSpaceDN w:val="0"/>
              <w:adjustRightInd w:val="0"/>
              <w:snapToGrid w:val="0"/>
              <w:jc w:val="center"/>
              <w:rPr>
                <w:b/>
                <w:sz w:val="18"/>
                <w:szCs w:val="18"/>
              </w:rPr>
            </w:pPr>
            <w:r>
              <w:rPr>
                <w:rFonts w:ascii="TimesNewRomanPS-BoldMT" w:hAnsi="TimesNewRomanPS-BoldMT" w:cs="TimesNewRomanPS-BoldMT"/>
                <w:b/>
                <w:bCs/>
                <w:kern w:val="0"/>
                <w:sz w:val="18"/>
                <w:szCs w:val="18"/>
              </w:rPr>
              <w:t>2024.12.31</w:t>
            </w:r>
          </w:p>
        </w:tc>
        <w:tc>
          <w:tcPr>
            <w:tcW w:w="1134" w:type="dxa"/>
            <w:shd w:val="clear" w:color="auto" w:fill="auto"/>
            <w:vAlign w:val="center"/>
          </w:tcPr>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Phase 3</w:t>
            </w:r>
          </w:p>
          <w:p>
            <w:pPr>
              <w:autoSpaceDE w:val="0"/>
              <w:autoSpaceDN w:val="0"/>
              <w:adjustRightInd w:val="0"/>
              <w:snapToGrid w:val="0"/>
              <w:jc w:val="center"/>
              <w:rPr>
                <w:rFonts w:ascii="黑体" w:hAnsi="TimesNewRomanPS-BoldMT" w:cs="黑体"/>
                <w:b/>
                <w:kern w:val="0"/>
                <w:sz w:val="18"/>
                <w:szCs w:val="18"/>
              </w:rPr>
            </w:pPr>
            <w:r>
              <w:rPr>
                <w:rFonts w:ascii="TimesNewRomanPS-BoldMT" w:hAnsi="TimesNewRomanPS-BoldMT" w:cs="TimesNewRomanPS-BoldMT"/>
                <w:b/>
                <w:bCs/>
                <w:kern w:val="0"/>
                <w:sz w:val="18"/>
                <w:szCs w:val="18"/>
              </w:rPr>
              <w:t>202</w:t>
            </w:r>
            <w:r>
              <w:rPr>
                <w:rFonts w:hint="eastAsia" w:ascii="TimesNewRomanPS-BoldMT" w:hAnsi="TimesNewRomanPS-BoldMT" w:cs="TimesNewRomanPS-BoldMT"/>
                <w:b/>
                <w:bCs/>
                <w:kern w:val="0"/>
                <w:sz w:val="18"/>
                <w:szCs w:val="18"/>
              </w:rPr>
              <w:t>2</w:t>
            </w:r>
            <w:r>
              <w:rPr>
                <w:rFonts w:ascii="TimesNewRomanPS-BoldMT" w:hAnsi="TimesNewRomanPS-BoldMT" w:cs="TimesNewRomanPS-BoldMT"/>
                <w:b/>
                <w:bCs/>
                <w:kern w:val="0"/>
                <w:sz w:val="18"/>
                <w:szCs w:val="18"/>
              </w:rPr>
              <w:t>.</w:t>
            </w:r>
            <w:r>
              <w:rPr>
                <w:rFonts w:hint="eastAsia" w:ascii="TimesNewRomanPS-BoldMT" w:hAnsi="TimesNewRomanPS-BoldMT" w:cs="TimesNewRomanPS-BoldMT"/>
                <w:b/>
                <w:bCs/>
                <w:kern w:val="0"/>
                <w:sz w:val="18"/>
                <w:szCs w:val="18"/>
              </w:rPr>
              <w:t>4</w:t>
            </w:r>
            <w:r>
              <w:rPr>
                <w:rFonts w:ascii="TimesNewRomanPS-BoldMT" w:hAnsi="TimesNewRomanPS-BoldMT" w:cs="TimesNewRomanPS-BoldMT"/>
                <w:b/>
                <w:bCs/>
                <w:kern w:val="0"/>
                <w:sz w:val="18"/>
                <w:szCs w:val="18"/>
              </w:rPr>
              <w:t>.1</w:t>
            </w:r>
            <w:r>
              <w:rPr>
                <w:rFonts w:hint="eastAsia" w:ascii="黑体" w:hAnsi="TimesNewRomanPS-BoldMT" w:cs="黑体"/>
                <w:b/>
                <w:kern w:val="0"/>
                <w:sz w:val="18"/>
                <w:szCs w:val="18"/>
              </w:rPr>
              <w:t>及以后</w:t>
            </w:r>
          </w:p>
        </w:tc>
        <w:tc>
          <w:tcPr>
            <w:tcW w:w="1134" w:type="dxa"/>
            <w:shd w:val="clear" w:color="auto" w:fill="auto"/>
            <w:vAlign w:val="center"/>
          </w:tcPr>
          <w:p>
            <w:pPr>
              <w:autoSpaceDE w:val="0"/>
              <w:autoSpaceDN w:val="0"/>
              <w:adjustRightInd w:val="0"/>
              <w:snapToGrid w:val="0"/>
              <w:jc w:val="center"/>
              <w:rPr>
                <w:rFonts w:ascii="TimesNewRomanPS-BoldMT" w:hAnsi="TimesNewRomanPS-BoldMT" w:cs="TimesNewRomanPS-BoldMT"/>
                <w:b/>
                <w:bCs/>
                <w:kern w:val="0"/>
                <w:sz w:val="18"/>
                <w:szCs w:val="18"/>
              </w:rPr>
            </w:pPr>
            <w:r>
              <w:rPr>
                <w:rFonts w:ascii="TimesNewRomanPS-BoldMT" w:hAnsi="TimesNewRomanPS-BoldMT" w:cs="TimesNewRomanPS-BoldMT"/>
                <w:b/>
                <w:bCs/>
                <w:kern w:val="0"/>
                <w:sz w:val="18"/>
                <w:szCs w:val="18"/>
              </w:rPr>
              <w:t>Phase 3</w:t>
            </w:r>
          </w:p>
          <w:p>
            <w:pPr>
              <w:autoSpaceDE w:val="0"/>
              <w:autoSpaceDN w:val="0"/>
              <w:adjustRightInd w:val="0"/>
              <w:snapToGrid w:val="0"/>
              <w:jc w:val="center"/>
              <w:rPr>
                <w:rFonts w:ascii="黑体" w:hAnsi="TimesNewRomanPS-BoldMT" w:cs="黑体"/>
                <w:b/>
                <w:kern w:val="0"/>
                <w:sz w:val="18"/>
                <w:szCs w:val="18"/>
              </w:rPr>
            </w:pPr>
            <w:r>
              <w:rPr>
                <w:rFonts w:ascii="TimesNewRomanPS-BoldMT" w:hAnsi="TimesNewRomanPS-BoldMT" w:cs="TimesNewRomanPS-BoldMT"/>
                <w:b/>
                <w:bCs/>
                <w:kern w:val="0"/>
                <w:sz w:val="18"/>
                <w:szCs w:val="18"/>
              </w:rPr>
              <w:t>2025.1.1</w:t>
            </w:r>
            <w:r>
              <w:rPr>
                <w:rFonts w:hint="eastAsia" w:ascii="黑体" w:hAnsi="TimesNewRomanPS-BoldMT" w:cs="黑体"/>
                <w:b/>
                <w:kern w:val="0"/>
                <w:sz w:val="18"/>
                <w:szCs w:val="18"/>
              </w:rPr>
              <w:t>及以后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ascii="宋体" w:cs="宋体"/>
                <w:kern w:val="0"/>
                <w:sz w:val="18"/>
                <w:szCs w:val="18"/>
              </w:rPr>
              <w:t>散货船</w:t>
            </w: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20,000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10,000-20,000 DWT</w:t>
            </w:r>
            <w:r>
              <w:rPr>
                <w:rFonts w:hint="eastAsia" w:ascii="TimesNewRomanPSMT" w:hAnsi="TimesNewRomanPSMT" w:cs="TimesNewRomanPSMT"/>
                <w:kern w:val="0"/>
                <w:sz w:val="18"/>
                <w:szCs w:val="18"/>
              </w:rPr>
              <w:t xml:space="preserve"> </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ascii="宋体" w:cs="宋体"/>
                <w:kern w:val="0"/>
                <w:sz w:val="18"/>
                <w:szCs w:val="18"/>
              </w:rPr>
              <w:t>气体运输船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15</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10</w:t>
            </w:r>
            <w:r>
              <w:rPr>
                <w:rFonts w:ascii="TimesNewRomanPSMT" w:hAnsi="TimesNewRomanPSMT" w:cs="TimesNewRomanPSMT"/>
                <w:kern w:val="0"/>
                <w:sz w:val="18"/>
                <w:szCs w:val="18"/>
              </w:rPr>
              <w:t>,000-1</w:t>
            </w:r>
            <w:r>
              <w:rPr>
                <w:rFonts w:hint="eastAsia" w:ascii="TimesNewRomanPSMT" w:hAnsi="TimesNewRomanPSMT" w:cs="TimesNewRomanPSMT"/>
                <w:kern w:val="0"/>
                <w:sz w:val="18"/>
                <w:szCs w:val="18"/>
              </w:rPr>
              <w:t>5</w:t>
            </w:r>
            <w:r>
              <w:rPr>
                <w:rFonts w:ascii="TimesNewRomanPSMT" w:hAnsi="TimesNewRomanPSMT" w:cs="TimesNewRomanPSMT"/>
                <w:kern w:val="0"/>
                <w:sz w:val="18"/>
                <w:szCs w:val="18"/>
              </w:rPr>
              <w:t>,000 DWT</w:t>
            </w:r>
            <w:r>
              <w:rPr>
                <w:rFonts w:hint="eastAsia" w:ascii="TimesNewRomanPSMT" w:hAnsi="TimesNewRomanPSMT" w:cs="TimesNewRomanPSMT"/>
                <w:kern w:val="0"/>
                <w:sz w:val="18"/>
                <w:szCs w:val="18"/>
              </w:rPr>
              <w:t xml:space="preserve"> </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2,000-10,000 DWT</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液货船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20</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4,000-20,000 DWT</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集装箱船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200</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50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120</w:t>
            </w:r>
            <w:r>
              <w:rPr>
                <w:rFonts w:ascii="TimesNewRomanPSMT" w:hAnsi="TimesNewRomanPSMT" w:cs="TimesNewRomanPSMT"/>
                <w:kern w:val="0"/>
                <w:sz w:val="18"/>
                <w:szCs w:val="18"/>
              </w:rPr>
              <w:t>,000-</w:t>
            </w:r>
            <w:r>
              <w:rPr>
                <w:rFonts w:hint="eastAsia" w:ascii="TimesNewRomanPSMT" w:hAnsi="TimesNewRomanPSMT" w:cs="TimesNewRomanPSMT"/>
                <w:kern w:val="0"/>
                <w:sz w:val="18"/>
                <w:szCs w:val="18"/>
              </w:rPr>
              <w:t>200</w:t>
            </w:r>
            <w:r>
              <w:rPr>
                <w:rFonts w:ascii="TimesNewRomanPSMT" w:hAnsi="TimesNewRomanPSMT" w:cs="TimesNewRomanPSMT"/>
                <w:kern w:val="0"/>
                <w:sz w:val="18"/>
                <w:szCs w:val="18"/>
              </w:rPr>
              <w:t>,000 DWT</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45</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80</w:t>
            </w:r>
            <w:r>
              <w:rPr>
                <w:rFonts w:ascii="TimesNewRomanPSMT" w:hAnsi="TimesNewRomanPSMT" w:cs="TimesNewRomanPSMT"/>
                <w:kern w:val="0"/>
                <w:sz w:val="18"/>
                <w:szCs w:val="18"/>
              </w:rPr>
              <w:t>,000-</w:t>
            </w:r>
            <w:r>
              <w:rPr>
                <w:rFonts w:hint="eastAsia" w:ascii="TimesNewRomanPSMT" w:hAnsi="TimesNewRomanPSMT" w:cs="TimesNewRomanPSMT"/>
                <w:kern w:val="0"/>
                <w:sz w:val="18"/>
                <w:szCs w:val="18"/>
              </w:rPr>
              <w:t>1</w:t>
            </w:r>
            <w:r>
              <w:rPr>
                <w:rFonts w:ascii="TimesNewRomanPSMT" w:hAnsi="TimesNewRomanPSMT" w:cs="TimesNewRomanPSMT"/>
                <w:kern w:val="0"/>
                <w:sz w:val="18"/>
                <w:szCs w:val="18"/>
              </w:rPr>
              <w:t>20,000 DWT</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40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4</w:t>
            </w:r>
            <w:r>
              <w:rPr>
                <w:rFonts w:hint="eastAsia" w:ascii="TimesNewRomanPSMT" w:hAnsi="TimesNewRomanPSMT" w:cs="TimesNewRomanPSMT"/>
                <w:kern w:val="0"/>
                <w:sz w:val="18"/>
                <w:szCs w:val="18"/>
              </w:rPr>
              <w:t>0</w:t>
            </w:r>
            <w:r>
              <w:rPr>
                <w:rFonts w:ascii="TimesNewRomanPSMT" w:hAnsi="TimesNewRomanPSMT" w:cs="TimesNewRomanPSMT"/>
                <w:kern w:val="0"/>
                <w:sz w:val="18"/>
                <w:szCs w:val="18"/>
              </w:rPr>
              <w:t>,000-</w:t>
            </w:r>
            <w:r>
              <w:rPr>
                <w:rFonts w:hint="eastAsia" w:ascii="TimesNewRomanPSMT" w:hAnsi="TimesNewRomanPSMT" w:cs="TimesNewRomanPSMT"/>
                <w:kern w:val="0"/>
                <w:sz w:val="18"/>
                <w:szCs w:val="18"/>
              </w:rPr>
              <w:t>8</w:t>
            </w:r>
            <w:r>
              <w:rPr>
                <w:rFonts w:ascii="TimesNewRomanPSMT" w:hAnsi="TimesNewRomanPSMT" w:cs="TimesNewRomanPSMT"/>
                <w:kern w:val="0"/>
                <w:sz w:val="18"/>
                <w:szCs w:val="18"/>
              </w:rPr>
              <w:t>0,000 DWT</w:t>
            </w:r>
            <w:r>
              <w:rPr>
                <w:rFonts w:hint="eastAsia" w:ascii="TimesNewRomanPSMT" w:hAnsi="TimesNewRomanPSMT" w:cs="TimesNewRomanPSMT"/>
                <w:kern w:val="0"/>
                <w:sz w:val="18"/>
                <w:szCs w:val="18"/>
              </w:rPr>
              <w:t xml:space="preserve"> </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35</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15</w:t>
            </w:r>
            <w:r>
              <w:rPr>
                <w:rFonts w:ascii="TimesNewRomanPSMT" w:hAnsi="TimesNewRomanPSMT" w:cs="TimesNewRomanPSMT"/>
                <w:kern w:val="0"/>
                <w:sz w:val="18"/>
                <w:szCs w:val="18"/>
              </w:rPr>
              <w:t>,000-</w:t>
            </w:r>
            <w:r>
              <w:rPr>
                <w:rFonts w:hint="eastAsia" w:ascii="TimesNewRomanPSMT" w:hAnsi="TimesNewRomanPSMT" w:cs="TimesNewRomanPSMT"/>
                <w:kern w:val="0"/>
                <w:sz w:val="18"/>
                <w:szCs w:val="18"/>
              </w:rPr>
              <w:t>4</w:t>
            </w:r>
            <w:r>
              <w:rPr>
                <w:rFonts w:ascii="TimesNewRomanPSMT" w:hAnsi="TimesNewRomanPSMT" w:cs="TimesNewRomanPSMT"/>
                <w:kern w:val="0"/>
                <w:sz w:val="18"/>
                <w:szCs w:val="18"/>
              </w:rPr>
              <w:t>0,000 DWT</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10</w:t>
            </w:r>
            <w:r>
              <w:rPr>
                <w:rFonts w:ascii="TimesNewRomanPSMT" w:hAnsi="TimesNewRomanPSMT" w:cs="TimesNewRomanPSMT"/>
                <w:kern w:val="0"/>
                <w:sz w:val="18"/>
                <w:szCs w:val="18"/>
              </w:rPr>
              <w:t>,000-</w:t>
            </w:r>
            <w:r>
              <w:rPr>
                <w:rFonts w:hint="eastAsia" w:ascii="TimesNewRomanPSMT" w:hAnsi="TimesNewRomanPSMT" w:cs="TimesNewRomanPSMT"/>
                <w:kern w:val="0"/>
                <w:sz w:val="18"/>
                <w:szCs w:val="18"/>
              </w:rPr>
              <w:t>15</w:t>
            </w:r>
            <w:r>
              <w:rPr>
                <w:rFonts w:ascii="TimesNewRomanPSMT" w:hAnsi="TimesNewRomanPSMT" w:cs="TimesNewRomanPSMT"/>
                <w:kern w:val="0"/>
                <w:sz w:val="18"/>
                <w:szCs w:val="18"/>
              </w:rPr>
              <w:t>,000 DWT</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15</w:t>
            </w:r>
            <w:r>
              <w:rPr>
                <w:rFonts w:ascii="TimesNewRomanPSMT" w:hAnsi="TimesNewRomanPSMT" w:cs="TimesNewRomanPSMT"/>
                <w:kern w:val="0"/>
                <w:sz w:val="18"/>
                <w:szCs w:val="18"/>
              </w:rPr>
              <w:t>-</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杂货船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15</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15</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3,000-15,000 DWT</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15*</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0</w:t>
            </w:r>
            <w:r>
              <w:rPr>
                <w:rFonts w:ascii="TimesNewRomanPSMT" w:hAnsi="TimesNewRomanPSMT" w:cs="TimesNewRomanPSMT"/>
                <w:kern w:val="0"/>
                <w:sz w:val="18"/>
                <w:szCs w:val="18"/>
              </w:rPr>
              <w:t>-</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冷藏货船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5</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15</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3,000-5,000 DWT</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15*</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0</w:t>
            </w:r>
            <w:r>
              <w:rPr>
                <w:rFonts w:ascii="TimesNewRomanPSMT" w:hAnsi="TimesNewRomanPSMT" w:cs="TimesNewRomanPSMT"/>
                <w:kern w:val="0"/>
                <w:sz w:val="18"/>
                <w:szCs w:val="18"/>
              </w:rPr>
              <w:t>-</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兼用船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20</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0</w:t>
            </w:r>
          </w:p>
        </w:tc>
        <w:tc>
          <w:tcPr>
            <w:tcW w:w="1055" w:type="dxa"/>
            <w:shd w:val="clear" w:color="auto" w:fill="auto"/>
            <w:vAlign w:val="center"/>
          </w:tcPr>
          <w:p>
            <w:pPr>
              <w:autoSpaceDE w:val="0"/>
              <w:autoSpaceDN w:val="0"/>
              <w:adjustRightInd w:val="0"/>
              <w:snapToGrid w:val="0"/>
              <w:jc w:val="center"/>
              <w:rPr>
                <w:sz w:val="18"/>
                <w:szCs w:val="18"/>
              </w:rPr>
            </w:pPr>
            <w:r>
              <w:rPr>
                <w:rFonts w:hint="eastAsia"/>
                <w:sz w:val="18"/>
                <w:szCs w:val="18"/>
              </w:rPr>
              <w:t>10</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4,000-20,000 DWT</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shd w:val="clear" w:color="auto" w:fill="auto"/>
            <w:vAlign w:val="center"/>
          </w:tcPr>
          <w:p>
            <w:pPr>
              <w:autoSpaceDE w:val="0"/>
              <w:autoSpaceDN w:val="0"/>
              <w:adjustRightInd w:val="0"/>
              <w:snapToGrid w:val="0"/>
              <w:jc w:val="center"/>
              <w:rPr>
                <w:sz w:val="18"/>
                <w:szCs w:val="18"/>
              </w:rPr>
            </w:pPr>
            <w:r>
              <w:rPr>
                <w:rFonts w:hint="eastAsia"/>
                <w:sz w:val="18"/>
                <w:szCs w:val="18"/>
              </w:rPr>
              <w:t>LNG运输船</w:t>
            </w:r>
            <w:r>
              <w:rPr>
                <w:rFonts w:hint="eastAsia" w:ascii="TimesNewRomanPSMT" w:hAnsi="TimesNewRomanPSMT" w:cs="TimesNewRomanPSMT"/>
                <w:kern w:val="0"/>
                <w:sz w:val="18"/>
                <w:szCs w:val="18"/>
              </w:rPr>
              <w:t>***</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10</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10</w:t>
            </w:r>
            <w:r>
              <w:rPr>
                <w:rFonts w:hint="eastAsia" w:ascii="TimesNewRomanPSMT" w:hAnsi="TimesNewRomanPSMT" w:cs="TimesNewRomanPSMT"/>
                <w:kern w:val="0"/>
                <w:sz w:val="18"/>
                <w:szCs w:val="18"/>
              </w:rPr>
              <w:t>**</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shd w:val="clear" w:color="auto" w:fill="auto"/>
            <w:vAlign w:val="center"/>
          </w:tcPr>
          <w:p>
            <w:pPr>
              <w:autoSpaceDE w:val="0"/>
              <w:autoSpaceDN w:val="0"/>
              <w:adjustRightInd w:val="0"/>
              <w:snapToGrid w:val="0"/>
              <w:jc w:val="center"/>
              <w:rPr>
                <w:sz w:val="18"/>
                <w:szCs w:val="18"/>
              </w:rPr>
            </w:pPr>
            <w:r>
              <w:rPr>
                <w:rFonts w:hint="eastAsia"/>
                <w:sz w:val="18"/>
                <w:szCs w:val="18"/>
              </w:rPr>
              <w:t>滚装货船( 车辆运输船)***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10</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15</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滚装货船***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1,000 - 2,000 DWT</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滚装客船***</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1</w:t>
            </w:r>
            <w:r>
              <w:rPr>
                <w:rFonts w:ascii="TimesNewRomanPSMT" w:hAnsi="TimesNewRomanPSMT" w:cs="TimesNewRomanPSMT"/>
                <w:kern w:val="0"/>
                <w:sz w:val="18"/>
                <w:szCs w:val="18"/>
              </w:rPr>
              <w:t>,000 DWT</w:t>
            </w:r>
            <w:r>
              <w:rPr>
                <w:rFonts w:hint="eastAsia" w:ascii="宋体" w:hAnsi="TimesNewRomanPSMT" w:cs="宋体"/>
                <w:kern w:val="0"/>
                <w:sz w:val="18"/>
                <w:szCs w:val="18"/>
              </w:rPr>
              <w:t>及以上</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250 - 1,000 DWT</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restart"/>
            <w:shd w:val="clear" w:color="auto" w:fill="auto"/>
            <w:vAlign w:val="center"/>
          </w:tcPr>
          <w:p>
            <w:pPr>
              <w:autoSpaceDE w:val="0"/>
              <w:autoSpaceDN w:val="0"/>
              <w:adjustRightInd w:val="0"/>
              <w:snapToGrid w:val="0"/>
              <w:jc w:val="center"/>
              <w:rPr>
                <w:sz w:val="18"/>
                <w:szCs w:val="18"/>
              </w:rPr>
            </w:pPr>
            <w:r>
              <w:rPr>
                <w:rFonts w:hint="eastAsia"/>
                <w:sz w:val="18"/>
                <w:szCs w:val="18"/>
              </w:rPr>
              <w:t>具有非常规推进的豪华邮轮***</w:t>
            </w:r>
          </w:p>
        </w:tc>
        <w:tc>
          <w:tcPr>
            <w:tcW w:w="1446"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85</w:t>
            </w:r>
            <w:r>
              <w:rPr>
                <w:rFonts w:ascii="TimesNewRomanPSMT" w:hAnsi="TimesNewRomanPSMT" w:cs="TimesNewRomanPSMT"/>
                <w:kern w:val="0"/>
                <w:sz w:val="18"/>
                <w:szCs w:val="18"/>
              </w:rPr>
              <w:t>,000</w:t>
            </w:r>
            <w:r>
              <w:rPr>
                <w:rFonts w:hint="eastAsia" w:ascii="TimesNewRomanPSMT" w:hAnsi="TimesNewRomanPSMT" w:cs="TimesNewRomanPSMT"/>
                <w:kern w:val="0"/>
                <w:sz w:val="18"/>
                <w:szCs w:val="18"/>
              </w:rPr>
              <w:t xml:space="preserve"> G</w:t>
            </w:r>
            <w:r>
              <w:rPr>
                <w:rFonts w:ascii="TimesNewRomanPSMT" w:hAnsi="TimesNewRomanPSMT" w:cs="TimesNewRomanPSMT"/>
                <w:kern w:val="0"/>
                <w:sz w:val="18"/>
                <w:szCs w:val="18"/>
              </w:rPr>
              <w:t>T</w:t>
            </w:r>
            <w:r>
              <w:rPr>
                <w:rFonts w:hint="eastAsia" w:ascii="宋体" w:hAnsi="TimesNewRomanPSMT" w:cs="宋体"/>
                <w:kern w:val="0"/>
                <w:sz w:val="18"/>
                <w:szCs w:val="18"/>
              </w:rPr>
              <w:t>及以上</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r>
              <w:rPr>
                <w:rFonts w:hint="eastAsia"/>
                <w:sz w:val="18"/>
                <w:szCs w:val="18"/>
              </w:rPr>
              <w:t>20</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hint="eastAsia"/>
                <w:sz w:val="18"/>
                <w:szCs w:val="18"/>
              </w:rPr>
              <w:t>30</w:t>
            </w:r>
          </w:p>
        </w:tc>
        <w:tc>
          <w:tcPr>
            <w:tcW w:w="1134" w:type="dxa"/>
            <w:shd w:val="clear" w:color="auto" w:fill="auto"/>
            <w:vAlign w:val="center"/>
          </w:tcPr>
          <w:p>
            <w:pPr>
              <w:autoSpaceDE w:val="0"/>
              <w:autoSpaceDN w:val="0"/>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Merge w:val="continue"/>
            <w:shd w:val="clear" w:color="auto" w:fill="auto"/>
            <w:vAlign w:val="center"/>
          </w:tcPr>
          <w:p>
            <w:pPr>
              <w:autoSpaceDE w:val="0"/>
              <w:autoSpaceDN w:val="0"/>
              <w:adjustRightInd w:val="0"/>
              <w:snapToGrid w:val="0"/>
              <w:jc w:val="center"/>
              <w:rPr>
                <w:sz w:val="18"/>
                <w:szCs w:val="18"/>
              </w:rPr>
            </w:pPr>
          </w:p>
        </w:tc>
        <w:tc>
          <w:tcPr>
            <w:tcW w:w="144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 xml:space="preserve">25,000 - 85,000 </w:t>
            </w:r>
            <w:r>
              <w:rPr>
                <w:rFonts w:hint="eastAsia" w:ascii="TimesNewRomanPSMT" w:hAnsi="TimesNewRomanPSMT" w:cs="TimesNewRomanPSMT"/>
                <w:kern w:val="0"/>
                <w:sz w:val="18"/>
                <w:szCs w:val="18"/>
              </w:rPr>
              <w:t>GT</w:t>
            </w:r>
          </w:p>
        </w:tc>
        <w:tc>
          <w:tcPr>
            <w:tcW w:w="1055" w:type="dxa"/>
            <w:shd w:val="clear" w:color="auto" w:fill="auto"/>
            <w:vAlign w:val="center"/>
          </w:tcPr>
          <w:p>
            <w:pPr>
              <w:adjustRightInd w:val="0"/>
              <w:snapToGrid w:val="0"/>
              <w:jc w:val="center"/>
              <w:rPr>
                <w:sz w:val="18"/>
                <w:szCs w:val="18"/>
              </w:rPr>
            </w:pPr>
            <w:r>
              <w:rPr>
                <w:rFonts w:ascii="TimesNewRomanPSMT" w:hAnsi="TimesNewRomanPSMT" w:cs="TimesNewRomanPSMT"/>
                <w:kern w:val="0"/>
                <w:sz w:val="18"/>
                <w:szCs w:val="18"/>
              </w:rPr>
              <w:t>n/a</w:t>
            </w:r>
          </w:p>
        </w:tc>
        <w:tc>
          <w:tcPr>
            <w:tcW w:w="1055"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5*,**</w:t>
            </w:r>
          </w:p>
        </w:tc>
        <w:tc>
          <w:tcPr>
            <w:tcW w:w="1366"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2</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c>
          <w:tcPr>
            <w:tcW w:w="1134" w:type="dxa"/>
            <w:shd w:val="clear" w:color="auto" w:fill="auto"/>
            <w:vAlign w:val="center"/>
          </w:tcPr>
          <w:p>
            <w:pPr>
              <w:autoSpaceDE w:val="0"/>
              <w:autoSpaceDN w:val="0"/>
              <w:adjustRightInd w:val="0"/>
              <w:snapToGrid w:val="0"/>
              <w:jc w:val="center"/>
              <w:rPr>
                <w:sz w:val="18"/>
                <w:szCs w:val="18"/>
              </w:rPr>
            </w:pPr>
            <w:r>
              <w:rPr>
                <w:rFonts w:ascii="TimesNewRomanPSMT" w:hAnsi="TimesNewRomanPSMT" w:cs="TimesNewRomanPSMT"/>
                <w:kern w:val="0"/>
                <w:sz w:val="18"/>
                <w:szCs w:val="18"/>
              </w:rPr>
              <w:t>0-</w:t>
            </w:r>
            <w:r>
              <w:rPr>
                <w:rFonts w:hint="eastAsia" w:ascii="TimesNewRomanPSMT" w:hAnsi="TimesNewRomanPSMT" w:cs="TimesNewRomanPSMT"/>
                <w:kern w:val="0"/>
                <w:sz w:val="18"/>
                <w:szCs w:val="18"/>
              </w:rPr>
              <w:t>3</w:t>
            </w:r>
            <w:r>
              <w:rPr>
                <w:rFonts w:ascii="TimesNewRomanPSMT" w:hAnsi="TimesNewRomanPSMT" w:cs="TimesNewRomanPSMT"/>
                <w:kern w:val="0"/>
                <w:sz w:val="18"/>
                <w:szCs w:val="18"/>
              </w:rPr>
              <w:t>0</w:t>
            </w:r>
            <w:r>
              <w:rPr>
                <w:rFonts w:hint="eastAsia" w:ascii="TimesNewRomanPSMT" w:hAnsi="TimesNewRomanPSMT" w:cs="TimesNewRomanPSMT"/>
                <w:kern w:val="0"/>
                <w:sz w:val="18"/>
                <w:szCs w:val="18"/>
              </w:rPr>
              <w:t>*</w:t>
            </w:r>
          </w:p>
        </w:tc>
        <w:tc>
          <w:tcPr>
            <w:tcW w:w="1134" w:type="dxa"/>
            <w:shd w:val="clear" w:color="auto" w:fill="auto"/>
            <w:vAlign w:val="center"/>
          </w:tcPr>
          <w:p>
            <w:pPr>
              <w:autoSpaceDE w:val="0"/>
              <w:autoSpaceDN w:val="0"/>
              <w:adjustRightInd w:val="0"/>
              <w:snapToGrid w:val="0"/>
              <w:jc w:val="center"/>
              <w:rPr>
                <w:sz w:val="18"/>
                <w:szCs w:val="18"/>
              </w:rPr>
            </w:pPr>
          </w:p>
        </w:tc>
      </w:tr>
    </w:tbl>
    <w:p>
      <w:pPr>
        <w:autoSpaceDE w:val="0"/>
        <w:autoSpaceDN w:val="0"/>
        <w:adjustRightInd w:val="0"/>
        <w:jc w:val="left"/>
        <w:rPr>
          <w:kern w:val="0"/>
          <w:sz w:val="18"/>
          <w:szCs w:val="18"/>
        </w:rPr>
      </w:pPr>
      <w:r>
        <w:rPr>
          <w:kern w:val="0"/>
          <w:sz w:val="18"/>
          <w:szCs w:val="18"/>
        </w:rPr>
        <w:t>* 折减系数根据船舶尺度在两值间线性插值，小的船舶尺度对应小的折减系数。</w:t>
      </w:r>
    </w:p>
    <w:p>
      <w:pPr>
        <w:autoSpaceDE w:val="0"/>
        <w:autoSpaceDN w:val="0"/>
        <w:adjustRightInd w:val="0"/>
        <w:jc w:val="left"/>
        <w:rPr>
          <w:kern w:val="0"/>
          <w:sz w:val="18"/>
          <w:szCs w:val="18"/>
        </w:rPr>
      </w:pPr>
      <w:r>
        <w:rPr>
          <w:kern w:val="0"/>
          <w:sz w:val="18"/>
          <w:szCs w:val="18"/>
        </w:rPr>
        <w:t>** 对此类船舶，Phase 1于2015年9月1日开始。</w:t>
      </w:r>
    </w:p>
    <w:p>
      <w:pPr>
        <w:autoSpaceDE w:val="0"/>
        <w:autoSpaceDN w:val="0"/>
        <w:adjustRightInd w:val="0"/>
        <w:jc w:val="left"/>
        <w:rPr>
          <w:kern w:val="0"/>
          <w:sz w:val="18"/>
          <w:szCs w:val="18"/>
        </w:rPr>
      </w:pPr>
      <w:r>
        <w:rPr>
          <w:kern w:val="0"/>
          <w:sz w:val="18"/>
          <w:szCs w:val="18"/>
        </w:rPr>
        <w:t>*** 折减系数适用于第2条</w:t>
      </w:r>
      <w:r>
        <w:rPr>
          <w:rFonts w:hint="eastAsia"/>
          <w:kern w:val="0"/>
          <w:sz w:val="18"/>
          <w:szCs w:val="18"/>
        </w:rPr>
        <w:t>2.1</w:t>
      </w:r>
      <w:r>
        <w:rPr>
          <w:kern w:val="0"/>
          <w:sz w:val="18"/>
          <w:szCs w:val="18"/>
        </w:rPr>
        <w:t>所定义的2019年9月1日或以后交付的船舶。</w:t>
      </w:r>
    </w:p>
    <w:p>
      <w:pPr>
        <w:autoSpaceDE w:val="0"/>
        <w:autoSpaceDN w:val="0"/>
        <w:adjustRightInd w:val="0"/>
        <w:jc w:val="left"/>
      </w:pPr>
      <w:r>
        <w:rPr>
          <w:kern w:val="0"/>
          <w:sz w:val="18"/>
          <w:szCs w:val="18"/>
        </w:rPr>
        <w:t>注：n/a 表示没有适用的Required EEDI。</w:t>
      </w:r>
    </w:p>
    <w:p>
      <w:pPr>
        <w:pStyle w:val="10"/>
        <w:ind w:firstLine="422" w:firstLineChars="200"/>
        <w:jc w:val="center"/>
        <w:rPr>
          <w:rFonts w:hAnsi="宋体"/>
          <w:b/>
          <w:bCs/>
        </w:rPr>
      </w:pPr>
    </w:p>
    <w:p>
      <w:pPr>
        <w:pStyle w:val="10"/>
        <w:ind w:firstLine="420"/>
        <w:rPr>
          <w:rFonts w:ascii="Times New Roman" w:hAnsi="Times New Roman"/>
          <w:lang w:bidi="ar"/>
        </w:rPr>
      </w:pPr>
      <w:r>
        <w:rPr>
          <w:rFonts w:ascii="Times New Roman" w:hAnsi="Times New Roman"/>
          <w:lang w:bidi="ar"/>
        </w:rPr>
        <w:t xml:space="preserve">3  </w:t>
      </w:r>
      <w:r>
        <w:rPr>
          <w:rFonts w:hint="eastAsia" w:ascii="Times New Roman" w:hAnsi="Times New Roman"/>
          <w:lang w:bidi="ar"/>
        </w:rPr>
        <w:t>基线值应按下式计算：</w:t>
      </w:r>
    </w:p>
    <w:p>
      <w:pPr>
        <w:pStyle w:val="10"/>
        <w:ind w:firstLine="420"/>
        <w:jc w:val="center"/>
        <w:rPr>
          <w:rFonts w:ascii="Times New Roman" w:hAnsi="Times New Roman"/>
          <w:lang w:bidi="ar"/>
        </w:rPr>
      </w:pPr>
      <w:r>
        <w:rPr>
          <w:rFonts w:hint="eastAsia" w:ascii="Times New Roman" w:hAnsi="Times New Roman"/>
          <w:lang w:bidi="ar"/>
        </w:rPr>
        <w:t>基线值</w:t>
      </w:r>
      <w:r>
        <w:rPr>
          <w:rFonts w:ascii="Times New Roman" w:hAnsi="Times New Roman"/>
          <w:lang w:bidi="ar"/>
        </w:rPr>
        <w:t xml:space="preserve"> = a ×b </w:t>
      </w:r>
      <w:r>
        <w:rPr>
          <w:rFonts w:ascii="Times New Roman" w:hAnsi="Times New Roman"/>
          <w:vertAlign w:val="superscript"/>
          <w:lang w:bidi="ar"/>
        </w:rPr>
        <w:t>-c</w:t>
      </w:r>
    </w:p>
    <w:p>
      <w:pPr>
        <w:pStyle w:val="10"/>
        <w:ind w:firstLine="420"/>
        <w:rPr>
          <w:rFonts w:ascii="Times New Roman" w:hAnsi="Times New Roman"/>
          <w:lang w:bidi="ar"/>
        </w:rPr>
      </w:pPr>
      <w:r>
        <w:rPr>
          <w:rFonts w:hint="eastAsia" w:ascii="Times New Roman" w:hAnsi="Times New Roman"/>
          <w:lang w:bidi="ar"/>
        </w:rPr>
        <w:t>式中</w:t>
      </w:r>
      <w:r>
        <w:rPr>
          <w:rFonts w:ascii="Times New Roman" w:hAnsi="Times New Roman"/>
          <w:lang w:bidi="ar"/>
        </w:rPr>
        <w:t>a</w:t>
      </w:r>
      <w:r>
        <w:rPr>
          <w:rFonts w:hint="eastAsia" w:ascii="Times New Roman" w:hAnsi="Times New Roman"/>
          <w:lang w:bidi="ar"/>
        </w:rPr>
        <w:t>、</w:t>
      </w:r>
      <w:r>
        <w:rPr>
          <w:rFonts w:ascii="Times New Roman" w:hAnsi="Times New Roman"/>
          <w:lang w:bidi="ar"/>
        </w:rPr>
        <w:t>b</w:t>
      </w:r>
      <w:r>
        <w:rPr>
          <w:rFonts w:hint="eastAsia" w:ascii="Times New Roman" w:hAnsi="Times New Roman"/>
          <w:lang w:bidi="ar"/>
        </w:rPr>
        <w:t>和</w:t>
      </w:r>
      <w:r>
        <w:rPr>
          <w:rFonts w:ascii="Times New Roman" w:hAnsi="Times New Roman"/>
          <w:lang w:bidi="ar"/>
        </w:rPr>
        <w:t>c</w:t>
      </w:r>
      <w:r>
        <w:rPr>
          <w:rFonts w:hint="eastAsia" w:ascii="Times New Roman" w:hAnsi="Times New Roman"/>
          <w:lang w:bidi="ar"/>
        </w:rPr>
        <w:t>为表</w:t>
      </w:r>
      <w:r>
        <w:rPr>
          <w:rFonts w:ascii="Times New Roman" w:hAnsi="Times New Roman"/>
          <w:lang w:bidi="ar"/>
        </w:rPr>
        <w:t>2</w:t>
      </w:r>
      <w:r>
        <w:rPr>
          <w:rFonts w:hint="eastAsia" w:ascii="Times New Roman" w:hAnsi="Times New Roman"/>
          <w:lang w:bidi="ar"/>
        </w:rPr>
        <w:t>所列参数。</w:t>
      </w:r>
    </w:p>
    <w:p>
      <w:pPr>
        <w:pStyle w:val="10"/>
        <w:ind w:firstLine="420"/>
        <w:rPr>
          <w:rFonts w:ascii="Times New Roman" w:hAnsi="Times New Roman"/>
          <w:lang w:bidi="ar"/>
        </w:rPr>
      </w:pPr>
    </w:p>
    <w:p>
      <w:pPr>
        <w:pStyle w:val="10"/>
        <w:ind w:firstLine="422" w:firstLineChars="200"/>
        <w:jc w:val="center"/>
        <w:rPr>
          <w:rFonts w:ascii="Times New Roman" w:hAnsi="Times New Roman"/>
          <w:b/>
          <w:bCs/>
        </w:rPr>
      </w:pPr>
      <w:r>
        <w:rPr>
          <w:rFonts w:ascii="Times New Roman" w:hAnsi="Times New Roman"/>
          <w:b/>
          <w:bCs/>
        </w:rPr>
        <w:t>表2 用于确定不同船型基线值的参数</w:t>
      </w:r>
    </w:p>
    <w:p>
      <w:pPr>
        <w:pStyle w:val="10"/>
        <w:ind w:firstLine="422" w:firstLineChars="200"/>
        <w:jc w:val="center"/>
        <w:rPr>
          <w:rFonts w:ascii="Times New Roman" w:hAnsi="Times New Roman"/>
          <w:b/>
          <w:bCs/>
        </w:rPr>
      </w:pPr>
    </w:p>
    <w:tbl>
      <w:tblPr>
        <w:tblStyle w:val="26"/>
        <w:tblW w:w="8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1"/>
        <w:gridCol w:w="2007"/>
        <w:gridCol w:w="21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jc w:val="center"/>
              <w:rPr>
                <w:b/>
                <w:sz w:val="18"/>
                <w:szCs w:val="18"/>
              </w:rPr>
            </w:pPr>
            <w:r>
              <w:rPr>
                <w:rFonts w:hAnsi="宋体"/>
                <w:b/>
                <w:sz w:val="18"/>
                <w:szCs w:val="18"/>
              </w:rPr>
              <w:t>第</w:t>
            </w:r>
            <w:r>
              <w:rPr>
                <w:b/>
                <w:sz w:val="18"/>
                <w:szCs w:val="18"/>
              </w:rPr>
              <w:t>2</w:t>
            </w:r>
            <w:r>
              <w:rPr>
                <w:rFonts w:hAnsi="宋体"/>
                <w:b/>
                <w:sz w:val="18"/>
                <w:szCs w:val="18"/>
              </w:rPr>
              <w:t>条所定义的船型</w:t>
            </w:r>
          </w:p>
        </w:tc>
        <w:tc>
          <w:tcPr>
            <w:tcW w:w="2007" w:type="dxa"/>
            <w:vAlign w:val="center"/>
          </w:tcPr>
          <w:p>
            <w:pPr>
              <w:jc w:val="center"/>
              <w:rPr>
                <w:b/>
                <w:sz w:val="18"/>
                <w:szCs w:val="18"/>
              </w:rPr>
            </w:pPr>
            <w:r>
              <w:rPr>
                <w:b/>
                <w:sz w:val="18"/>
                <w:szCs w:val="18"/>
              </w:rPr>
              <w:t>a</w:t>
            </w:r>
          </w:p>
        </w:tc>
        <w:tc>
          <w:tcPr>
            <w:tcW w:w="2100" w:type="dxa"/>
            <w:vAlign w:val="center"/>
          </w:tcPr>
          <w:p>
            <w:pPr>
              <w:jc w:val="center"/>
              <w:rPr>
                <w:b/>
                <w:sz w:val="18"/>
                <w:szCs w:val="18"/>
              </w:rPr>
            </w:pPr>
            <w:r>
              <w:rPr>
                <w:b/>
                <w:sz w:val="18"/>
                <w:szCs w:val="18"/>
              </w:rPr>
              <w:t>b</w:t>
            </w:r>
          </w:p>
        </w:tc>
        <w:tc>
          <w:tcPr>
            <w:tcW w:w="1620" w:type="dxa"/>
            <w:vAlign w:val="center"/>
          </w:tcPr>
          <w:p>
            <w:pPr>
              <w:jc w:val="center"/>
              <w:rPr>
                <w:b/>
                <w:sz w:val="18"/>
                <w:szCs w:val="18"/>
              </w:rPr>
            </w:pPr>
            <w:r>
              <w:rPr>
                <w:b/>
                <w:sz w:val="18"/>
                <w:szCs w:val="18"/>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2.2</w:t>
            </w:r>
            <w:r>
              <w:rPr>
                <w:rFonts w:hint="eastAsia"/>
                <w:sz w:val="18"/>
                <w:szCs w:val="18"/>
              </w:rPr>
              <w:t>.</w:t>
            </w:r>
            <w:r>
              <w:rPr>
                <w:sz w:val="18"/>
                <w:szCs w:val="18"/>
              </w:rPr>
              <w:t>5</w:t>
            </w:r>
            <w:r>
              <w:rPr>
                <w:rFonts w:hAnsi="宋体"/>
                <w:sz w:val="18"/>
                <w:szCs w:val="18"/>
              </w:rPr>
              <w:t>散货船</w:t>
            </w:r>
          </w:p>
        </w:tc>
        <w:tc>
          <w:tcPr>
            <w:tcW w:w="2007" w:type="dxa"/>
            <w:vAlign w:val="center"/>
          </w:tcPr>
          <w:p>
            <w:pPr>
              <w:jc w:val="center"/>
              <w:rPr>
                <w:sz w:val="18"/>
                <w:szCs w:val="18"/>
              </w:rPr>
            </w:pPr>
            <w:r>
              <w:rPr>
                <w:sz w:val="18"/>
                <w:szCs w:val="18"/>
              </w:rPr>
              <w:t>961.79</w:t>
            </w:r>
          </w:p>
        </w:tc>
        <w:tc>
          <w:tcPr>
            <w:tcW w:w="2100" w:type="dxa"/>
            <w:vAlign w:val="center"/>
          </w:tcPr>
          <w:p>
            <w:pPr>
              <w:autoSpaceDE w:val="0"/>
              <w:autoSpaceDN w:val="0"/>
              <w:adjustRightInd w:val="0"/>
              <w:snapToGrid w:val="0"/>
              <w:jc w:val="center"/>
              <w:rPr>
                <w:rFonts w:ascii="TimesNewRomanPSMT" w:hAnsi="TimesNewRomanPSMT" w:cs="TimesNewRomanPSMT"/>
                <w:kern w:val="0"/>
                <w:sz w:val="18"/>
                <w:szCs w:val="18"/>
              </w:rPr>
            </w:pPr>
            <w:r>
              <w:rPr>
                <w:rFonts w:hint="eastAsia" w:ascii="TimesNewRomanPSMT" w:hAnsi="TimesNewRomanPSMT" w:cs="TimesNewRomanPSMT"/>
                <w:kern w:val="0"/>
                <w:sz w:val="18"/>
                <w:szCs w:val="18"/>
              </w:rPr>
              <w:t>当</w:t>
            </w:r>
            <w:r>
              <w:rPr>
                <w:rFonts w:hAnsi="宋体"/>
                <w:sz w:val="18"/>
                <w:szCs w:val="18"/>
              </w:rPr>
              <w:t>载重吨</w:t>
            </w:r>
            <w:r>
              <w:rPr>
                <w:kern w:val="0"/>
                <w:sz w:val="18"/>
                <w:szCs w:val="18"/>
              </w:rPr>
              <w:t>≤</w:t>
            </w:r>
            <w:r>
              <w:rPr>
                <w:rFonts w:hint="eastAsia" w:ascii="TimesNewRomanPSMT" w:hAnsi="TimesNewRomanPSMT" w:cs="TimesNewRomanPSMT"/>
                <w:kern w:val="0"/>
                <w:sz w:val="18"/>
                <w:szCs w:val="18"/>
              </w:rPr>
              <w:t>279,000时，取船舶</w:t>
            </w:r>
            <w:r>
              <w:rPr>
                <w:rFonts w:hAnsi="宋体"/>
                <w:sz w:val="18"/>
                <w:szCs w:val="18"/>
              </w:rPr>
              <w:t>载重吨</w:t>
            </w:r>
          </w:p>
          <w:p>
            <w:pPr>
              <w:adjustRightInd w:val="0"/>
              <w:snapToGrid w:val="0"/>
              <w:jc w:val="center"/>
              <w:rPr>
                <w:sz w:val="18"/>
                <w:szCs w:val="18"/>
              </w:rPr>
            </w:pPr>
            <w:r>
              <w:rPr>
                <w:rFonts w:hint="eastAsia" w:ascii="TimesNewRomanPSMT" w:hAnsi="TimesNewRomanPSMT" w:cs="TimesNewRomanPSMT"/>
                <w:kern w:val="0"/>
                <w:sz w:val="18"/>
                <w:szCs w:val="18"/>
              </w:rPr>
              <w:t>当</w:t>
            </w:r>
            <w:r>
              <w:rPr>
                <w:rFonts w:hAnsi="宋体"/>
                <w:sz w:val="18"/>
                <w:szCs w:val="18"/>
              </w:rPr>
              <w:t>载重吨</w:t>
            </w:r>
            <w:r>
              <w:rPr>
                <w:rFonts w:hint="eastAsia" w:ascii="TimesNewRomanPSMT" w:hAnsi="TimesNewRomanPSMT" w:cs="TimesNewRomanPSMT"/>
                <w:kern w:val="0"/>
                <w:sz w:val="18"/>
                <w:szCs w:val="18"/>
              </w:rPr>
              <w:t>&gt;279,000时，取 279,000</w:t>
            </w:r>
          </w:p>
        </w:tc>
        <w:tc>
          <w:tcPr>
            <w:tcW w:w="1620" w:type="dxa"/>
            <w:vAlign w:val="center"/>
          </w:tcPr>
          <w:p>
            <w:pPr>
              <w:jc w:val="center"/>
              <w:rPr>
                <w:sz w:val="18"/>
                <w:szCs w:val="18"/>
              </w:rPr>
            </w:pPr>
            <w:r>
              <w:rPr>
                <w:sz w:val="18"/>
                <w:szCs w:val="18"/>
              </w:rPr>
              <w:t>0.477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w:t>
            </w:r>
            <w:r>
              <w:rPr>
                <w:rFonts w:hint="eastAsia"/>
                <w:sz w:val="18"/>
                <w:szCs w:val="18"/>
              </w:rPr>
              <w:t>2.7</w:t>
            </w:r>
            <w:r>
              <w:rPr>
                <w:rFonts w:hAnsi="宋体"/>
                <w:sz w:val="18"/>
                <w:szCs w:val="18"/>
              </w:rPr>
              <w:t>兼</w:t>
            </w:r>
            <w:r>
              <w:rPr>
                <w:rFonts w:hint="eastAsia" w:hAnsi="宋体"/>
                <w:sz w:val="18"/>
                <w:szCs w:val="18"/>
              </w:rPr>
              <w:t>用</w:t>
            </w:r>
            <w:r>
              <w:rPr>
                <w:rFonts w:hAnsi="宋体"/>
                <w:sz w:val="18"/>
                <w:szCs w:val="18"/>
              </w:rPr>
              <w:t>船</w:t>
            </w:r>
          </w:p>
        </w:tc>
        <w:tc>
          <w:tcPr>
            <w:tcW w:w="2007" w:type="dxa"/>
            <w:vAlign w:val="center"/>
          </w:tcPr>
          <w:p>
            <w:pPr>
              <w:jc w:val="center"/>
              <w:rPr>
                <w:sz w:val="18"/>
                <w:szCs w:val="18"/>
              </w:rPr>
            </w:pPr>
            <w:r>
              <w:rPr>
                <w:sz w:val="18"/>
                <w:szCs w:val="18"/>
              </w:rPr>
              <w:t>1</w:t>
            </w:r>
            <w:r>
              <w:rPr>
                <w:rFonts w:hint="eastAsia"/>
                <w:sz w:val="18"/>
                <w:szCs w:val="18"/>
              </w:rPr>
              <w:t>,</w:t>
            </w:r>
            <w:r>
              <w:rPr>
                <w:sz w:val="18"/>
                <w:szCs w:val="18"/>
              </w:rPr>
              <w:t>219.00</w:t>
            </w:r>
          </w:p>
        </w:tc>
        <w:tc>
          <w:tcPr>
            <w:tcW w:w="2100" w:type="dxa"/>
            <w:vAlign w:val="center"/>
          </w:tcPr>
          <w:p>
            <w:pPr>
              <w:jc w:val="center"/>
              <w:rPr>
                <w:sz w:val="18"/>
                <w:szCs w:val="18"/>
              </w:rPr>
            </w:pPr>
            <w:r>
              <w:rPr>
                <w:rFonts w:hAnsi="宋体"/>
                <w:sz w:val="18"/>
                <w:szCs w:val="18"/>
              </w:rPr>
              <w:t>船舶载重吨</w:t>
            </w:r>
          </w:p>
        </w:tc>
        <w:tc>
          <w:tcPr>
            <w:tcW w:w="1620" w:type="dxa"/>
            <w:vAlign w:val="center"/>
          </w:tcPr>
          <w:p>
            <w:pPr>
              <w:jc w:val="center"/>
              <w:rPr>
                <w:sz w:val="18"/>
                <w:szCs w:val="18"/>
              </w:rPr>
            </w:pPr>
            <w:r>
              <w:rPr>
                <w:sz w:val="18"/>
                <w:szCs w:val="18"/>
              </w:rPr>
              <w:t>0.488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2.2</w:t>
            </w:r>
            <w:r>
              <w:rPr>
                <w:rFonts w:hint="eastAsia"/>
                <w:sz w:val="18"/>
                <w:szCs w:val="18"/>
              </w:rPr>
              <w:t xml:space="preserve">.9 </w:t>
            </w:r>
            <w:r>
              <w:rPr>
                <w:rFonts w:hAnsi="宋体"/>
                <w:sz w:val="18"/>
                <w:szCs w:val="18"/>
              </w:rPr>
              <w:t>集装箱船</w:t>
            </w:r>
          </w:p>
        </w:tc>
        <w:tc>
          <w:tcPr>
            <w:tcW w:w="2007" w:type="dxa"/>
            <w:vAlign w:val="center"/>
          </w:tcPr>
          <w:p>
            <w:pPr>
              <w:jc w:val="center"/>
              <w:rPr>
                <w:sz w:val="18"/>
                <w:szCs w:val="18"/>
              </w:rPr>
            </w:pPr>
            <w:r>
              <w:rPr>
                <w:sz w:val="18"/>
                <w:szCs w:val="18"/>
              </w:rPr>
              <w:t>174.22</w:t>
            </w:r>
          </w:p>
        </w:tc>
        <w:tc>
          <w:tcPr>
            <w:tcW w:w="2100" w:type="dxa"/>
            <w:vAlign w:val="center"/>
          </w:tcPr>
          <w:p>
            <w:pPr>
              <w:jc w:val="center"/>
              <w:rPr>
                <w:sz w:val="18"/>
                <w:szCs w:val="18"/>
              </w:rPr>
            </w:pPr>
            <w:r>
              <w:rPr>
                <w:rFonts w:hAnsi="宋体"/>
                <w:sz w:val="18"/>
                <w:szCs w:val="18"/>
              </w:rPr>
              <w:t>船舶载重吨</w:t>
            </w:r>
          </w:p>
        </w:tc>
        <w:tc>
          <w:tcPr>
            <w:tcW w:w="1620" w:type="dxa"/>
            <w:vAlign w:val="center"/>
          </w:tcPr>
          <w:p>
            <w:pPr>
              <w:jc w:val="center"/>
              <w:rPr>
                <w:sz w:val="18"/>
                <w:szCs w:val="18"/>
              </w:rPr>
            </w:pPr>
            <w:r>
              <w:rPr>
                <w:sz w:val="18"/>
                <w:szCs w:val="18"/>
              </w:rPr>
              <w:t>0.201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w:t>
            </w:r>
            <w:r>
              <w:rPr>
                <w:rFonts w:hint="eastAsia"/>
                <w:sz w:val="18"/>
                <w:szCs w:val="18"/>
              </w:rPr>
              <w:t>2.11具有非常规推进的豪华邮轮</w:t>
            </w:r>
          </w:p>
        </w:tc>
        <w:tc>
          <w:tcPr>
            <w:tcW w:w="2007" w:type="dxa"/>
            <w:vAlign w:val="center"/>
          </w:tcPr>
          <w:p>
            <w:pPr>
              <w:widowControl/>
              <w:spacing w:line="0" w:lineRule="atLeast"/>
              <w:jc w:val="center"/>
              <w:rPr>
                <w:sz w:val="18"/>
                <w:szCs w:val="18"/>
              </w:rPr>
            </w:pPr>
            <w:r>
              <w:rPr>
                <w:sz w:val="18"/>
                <w:szCs w:val="18"/>
              </w:rPr>
              <w:t>170.84</w:t>
            </w:r>
          </w:p>
        </w:tc>
        <w:tc>
          <w:tcPr>
            <w:tcW w:w="2100" w:type="dxa"/>
            <w:vAlign w:val="center"/>
          </w:tcPr>
          <w:p>
            <w:pPr>
              <w:jc w:val="center"/>
              <w:rPr>
                <w:sz w:val="18"/>
                <w:szCs w:val="18"/>
              </w:rPr>
            </w:pPr>
            <w:r>
              <w:rPr>
                <w:rFonts w:hint="eastAsia"/>
                <w:sz w:val="18"/>
                <w:szCs w:val="18"/>
              </w:rPr>
              <w:t>船舶总吨</w:t>
            </w:r>
          </w:p>
        </w:tc>
        <w:tc>
          <w:tcPr>
            <w:tcW w:w="1620" w:type="dxa"/>
            <w:vAlign w:val="center"/>
          </w:tcPr>
          <w:p>
            <w:pPr>
              <w:jc w:val="center"/>
              <w:rPr>
                <w:sz w:val="18"/>
                <w:szCs w:val="18"/>
              </w:rPr>
            </w:pPr>
            <w:r>
              <w:rPr>
                <w:sz w:val="18"/>
                <w:szCs w:val="18"/>
              </w:rPr>
              <w:t>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w:t>
            </w:r>
            <w:r>
              <w:rPr>
                <w:rFonts w:hint="eastAsia"/>
                <w:sz w:val="18"/>
                <w:szCs w:val="18"/>
              </w:rPr>
              <w:t>2.14</w:t>
            </w:r>
            <w:r>
              <w:rPr>
                <w:rFonts w:hAnsi="宋体"/>
                <w:sz w:val="18"/>
                <w:szCs w:val="18"/>
              </w:rPr>
              <w:t>气体运输船</w:t>
            </w:r>
          </w:p>
        </w:tc>
        <w:tc>
          <w:tcPr>
            <w:tcW w:w="2007" w:type="dxa"/>
            <w:vAlign w:val="center"/>
          </w:tcPr>
          <w:p>
            <w:pPr>
              <w:jc w:val="center"/>
              <w:rPr>
                <w:sz w:val="18"/>
                <w:szCs w:val="18"/>
              </w:rPr>
            </w:pPr>
            <w:r>
              <w:rPr>
                <w:sz w:val="18"/>
                <w:szCs w:val="18"/>
              </w:rPr>
              <w:t>1</w:t>
            </w:r>
            <w:r>
              <w:rPr>
                <w:rFonts w:hint="eastAsia"/>
                <w:sz w:val="18"/>
                <w:szCs w:val="18"/>
              </w:rPr>
              <w:t>,</w:t>
            </w:r>
            <w:r>
              <w:rPr>
                <w:sz w:val="18"/>
                <w:szCs w:val="18"/>
              </w:rPr>
              <w:t>120.00</w:t>
            </w:r>
          </w:p>
        </w:tc>
        <w:tc>
          <w:tcPr>
            <w:tcW w:w="2100" w:type="dxa"/>
            <w:vAlign w:val="center"/>
          </w:tcPr>
          <w:p>
            <w:pPr>
              <w:jc w:val="center"/>
              <w:rPr>
                <w:sz w:val="18"/>
                <w:szCs w:val="18"/>
              </w:rPr>
            </w:pPr>
            <w:r>
              <w:rPr>
                <w:rFonts w:hAnsi="宋体"/>
                <w:sz w:val="18"/>
                <w:szCs w:val="18"/>
              </w:rPr>
              <w:t>船舶载重吨</w:t>
            </w:r>
          </w:p>
        </w:tc>
        <w:tc>
          <w:tcPr>
            <w:tcW w:w="1620" w:type="dxa"/>
            <w:vAlign w:val="center"/>
          </w:tcPr>
          <w:p>
            <w:pPr>
              <w:jc w:val="center"/>
              <w:rPr>
                <w:sz w:val="18"/>
                <w:szCs w:val="18"/>
              </w:rPr>
            </w:pPr>
            <w:r>
              <w:rPr>
                <w:sz w:val="18"/>
                <w:szCs w:val="18"/>
              </w:rPr>
              <w:t>0.456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2.2</w:t>
            </w:r>
            <w:r>
              <w:rPr>
                <w:rFonts w:hint="eastAsia"/>
                <w:sz w:val="18"/>
                <w:szCs w:val="18"/>
              </w:rPr>
              <w:t>.15</w:t>
            </w:r>
            <w:r>
              <w:rPr>
                <w:rFonts w:hint="eastAsia" w:hAnsi="宋体"/>
                <w:sz w:val="18"/>
                <w:szCs w:val="18"/>
              </w:rPr>
              <w:t>杂</w:t>
            </w:r>
            <w:r>
              <w:rPr>
                <w:rFonts w:hAnsi="宋体"/>
                <w:sz w:val="18"/>
                <w:szCs w:val="18"/>
              </w:rPr>
              <w:t>货船</w:t>
            </w:r>
          </w:p>
        </w:tc>
        <w:tc>
          <w:tcPr>
            <w:tcW w:w="2007" w:type="dxa"/>
            <w:vAlign w:val="center"/>
          </w:tcPr>
          <w:p>
            <w:pPr>
              <w:jc w:val="center"/>
              <w:rPr>
                <w:sz w:val="18"/>
                <w:szCs w:val="18"/>
              </w:rPr>
            </w:pPr>
            <w:r>
              <w:rPr>
                <w:sz w:val="18"/>
                <w:szCs w:val="18"/>
              </w:rPr>
              <w:t>107.48</w:t>
            </w:r>
          </w:p>
        </w:tc>
        <w:tc>
          <w:tcPr>
            <w:tcW w:w="2100" w:type="dxa"/>
            <w:vAlign w:val="center"/>
          </w:tcPr>
          <w:p>
            <w:pPr>
              <w:jc w:val="center"/>
              <w:rPr>
                <w:sz w:val="18"/>
                <w:szCs w:val="18"/>
              </w:rPr>
            </w:pPr>
            <w:r>
              <w:rPr>
                <w:rFonts w:hAnsi="宋体"/>
                <w:sz w:val="18"/>
                <w:szCs w:val="18"/>
              </w:rPr>
              <w:t>船舶载重吨</w:t>
            </w:r>
          </w:p>
        </w:tc>
        <w:tc>
          <w:tcPr>
            <w:tcW w:w="1620" w:type="dxa"/>
            <w:vAlign w:val="center"/>
          </w:tcPr>
          <w:p>
            <w:pPr>
              <w:jc w:val="center"/>
              <w:rPr>
                <w:sz w:val="18"/>
                <w:szCs w:val="18"/>
              </w:rPr>
            </w:pPr>
            <w:r>
              <w:rPr>
                <w:sz w:val="18"/>
                <w:szCs w:val="18"/>
              </w:rPr>
              <w:t>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w:t>
            </w:r>
            <w:r>
              <w:rPr>
                <w:rFonts w:hint="eastAsia"/>
                <w:sz w:val="18"/>
                <w:szCs w:val="18"/>
              </w:rPr>
              <w:t xml:space="preserve">2.16 </w:t>
            </w:r>
            <w:r>
              <w:rPr>
                <w:sz w:val="18"/>
                <w:szCs w:val="18"/>
              </w:rPr>
              <w:t>LNG</w:t>
            </w:r>
            <w:r>
              <w:rPr>
                <w:rFonts w:hint="eastAsia"/>
                <w:sz w:val="18"/>
                <w:szCs w:val="18"/>
              </w:rPr>
              <w:t>运输船</w:t>
            </w:r>
          </w:p>
        </w:tc>
        <w:tc>
          <w:tcPr>
            <w:tcW w:w="2007" w:type="dxa"/>
            <w:vAlign w:val="center"/>
          </w:tcPr>
          <w:p>
            <w:pPr>
              <w:widowControl/>
              <w:spacing w:line="0" w:lineRule="atLeast"/>
              <w:jc w:val="center"/>
              <w:rPr>
                <w:sz w:val="18"/>
                <w:szCs w:val="18"/>
              </w:rPr>
            </w:pPr>
            <w:r>
              <w:rPr>
                <w:sz w:val="18"/>
                <w:szCs w:val="18"/>
              </w:rPr>
              <w:t>2</w:t>
            </w:r>
            <w:r>
              <w:rPr>
                <w:rFonts w:hint="eastAsia"/>
                <w:sz w:val="18"/>
                <w:szCs w:val="18"/>
              </w:rPr>
              <w:t>,</w:t>
            </w:r>
            <w:r>
              <w:rPr>
                <w:sz w:val="18"/>
                <w:szCs w:val="18"/>
              </w:rPr>
              <w:t>253.7</w:t>
            </w:r>
          </w:p>
        </w:tc>
        <w:tc>
          <w:tcPr>
            <w:tcW w:w="2100" w:type="dxa"/>
            <w:vAlign w:val="center"/>
          </w:tcPr>
          <w:p>
            <w:pPr>
              <w:jc w:val="center"/>
              <w:rPr>
                <w:sz w:val="18"/>
                <w:szCs w:val="18"/>
              </w:rPr>
            </w:pPr>
            <w:r>
              <w:rPr>
                <w:rFonts w:hint="eastAsia"/>
                <w:sz w:val="18"/>
                <w:szCs w:val="18"/>
              </w:rPr>
              <w:t>船舶载重吨</w:t>
            </w:r>
          </w:p>
        </w:tc>
        <w:tc>
          <w:tcPr>
            <w:tcW w:w="1620" w:type="dxa"/>
            <w:vAlign w:val="center"/>
          </w:tcPr>
          <w:p>
            <w:pPr>
              <w:jc w:val="center"/>
              <w:rPr>
                <w:sz w:val="18"/>
                <w:szCs w:val="18"/>
              </w:rPr>
            </w:pPr>
            <w:r>
              <w:rPr>
                <w:sz w:val="18"/>
                <w:szCs w:val="18"/>
              </w:rPr>
              <w:t>0.474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w:t>
            </w:r>
            <w:r>
              <w:rPr>
                <w:rFonts w:hint="eastAsia"/>
                <w:sz w:val="18"/>
                <w:szCs w:val="18"/>
              </w:rPr>
              <w:t>2.22</w:t>
            </w:r>
            <w:r>
              <w:rPr>
                <w:rFonts w:hAnsi="宋体"/>
                <w:sz w:val="18"/>
                <w:szCs w:val="18"/>
              </w:rPr>
              <w:t>冷藏货船</w:t>
            </w:r>
          </w:p>
        </w:tc>
        <w:tc>
          <w:tcPr>
            <w:tcW w:w="2007" w:type="dxa"/>
            <w:vAlign w:val="center"/>
          </w:tcPr>
          <w:p>
            <w:pPr>
              <w:jc w:val="center"/>
              <w:rPr>
                <w:sz w:val="18"/>
                <w:szCs w:val="18"/>
              </w:rPr>
            </w:pPr>
            <w:r>
              <w:rPr>
                <w:sz w:val="18"/>
                <w:szCs w:val="18"/>
              </w:rPr>
              <w:t>227.01</w:t>
            </w:r>
          </w:p>
        </w:tc>
        <w:tc>
          <w:tcPr>
            <w:tcW w:w="2100" w:type="dxa"/>
            <w:vAlign w:val="center"/>
          </w:tcPr>
          <w:p>
            <w:pPr>
              <w:jc w:val="center"/>
              <w:rPr>
                <w:sz w:val="18"/>
                <w:szCs w:val="18"/>
              </w:rPr>
            </w:pPr>
            <w:r>
              <w:rPr>
                <w:rFonts w:hAnsi="宋体"/>
                <w:sz w:val="18"/>
                <w:szCs w:val="18"/>
              </w:rPr>
              <w:t>船舶载重吨</w:t>
            </w:r>
          </w:p>
        </w:tc>
        <w:tc>
          <w:tcPr>
            <w:tcW w:w="1620" w:type="dxa"/>
            <w:vAlign w:val="center"/>
          </w:tcPr>
          <w:p>
            <w:pPr>
              <w:jc w:val="center"/>
              <w:rPr>
                <w:sz w:val="18"/>
                <w:szCs w:val="18"/>
              </w:rPr>
            </w:pPr>
            <w:r>
              <w:rPr>
                <w:sz w:val="18"/>
                <w:szCs w:val="18"/>
              </w:rPr>
              <w:t>0.244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Merge w:val="restart"/>
            <w:vAlign w:val="center"/>
          </w:tcPr>
          <w:p>
            <w:pPr>
              <w:rPr>
                <w:sz w:val="18"/>
                <w:szCs w:val="18"/>
              </w:rPr>
            </w:pPr>
            <w:r>
              <w:rPr>
                <w:sz w:val="18"/>
                <w:szCs w:val="18"/>
              </w:rPr>
              <w:t>2.</w:t>
            </w:r>
            <w:r>
              <w:rPr>
                <w:rFonts w:hint="eastAsia"/>
                <w:sz w:val="18"/>
                <w:szCs w:val="18"/>
              </w:rPr>
              <w:t>2.26</w:t>
            </w:r>
            <w:r>
              <w:rPr>
                <w:sz w:val="18"/>
                <w:szCs w:val="18"/>
              </w:rPr>
              <w:t xml:space="preserve"> </w:t>
            </w:r>
            <w:r>
              <w:rPr>
                <w:rFonts w:hint="eastAsia"/>
                <w:sz w:val="18"/>
                <w:szCs w:val="18"/>
              </w:rPr>
              <w:t>滚装货船</w:t>
            </w:r>
          </w:p>
        </w:tc>
        <w:tc>
          <w:tcPr>
            <w:tcW w:w="2007" w:type="dxa"/>
            <w:vAlign w:val="center"/>
          </w:tcPr>
          <w:p>
            <w:pPr>
              <w:widowControl/>
              <w:spacing w:line="0" w:lineRule="atLeast"/>
              <w:jc w:val="center"/>
              <w:rPr>
                <w:sz w:val="18"/>
                <w:szCs w:val="18"/>
              </w:rPr>
            </w:pPr>
            <w:r>
              <w:rPr>
                <w:sz w:val="18"/>
                <w:szCs w:val="18"/>
              </w:rPr>
              <w:t>1</w:t>
            </w:r>
            <w:r>
              <w:rPr>
                <w:rFonts w:hint="eastAsia"/>
                <w:sz w:val="18"/>
                <w:szCs w:val="18"/>
              </w:rPr>
              <w:t>,</w:t>
            </w:r>
            <w:r>
              <w:rPr>
                <w:sz w:val="18"/>
                <w:szCs w:val="18"/>
              </w:rPr>
              <w:t>405.15</w:t>
            </w:r>
          </w:p>
        </w:tc>
        <w:tc>
          <w:tcPr>
            <w:tcW w:w="2100" w:type="dxa"/>
            <w:vAlign w:val="center"/>
          </w:tcPr>
          <w:p>
            <w:pPr>
              <w:jc w:val="center"/>
              <w:rPr>
                <w:sz w:val="18"/>
                <w:szCs w:val="18"/>
              </w:rPr>
            </w:pPr>
            <w:r>
              <w:rPr>
                <w:rFonts w:hint="eastAsia"/>
                <w:sz w:val="18"/>
                <w:szCs w:val="18"/>
              </w:rPr>
              <w:t>船舶载重吨</w:t>
            </w:r>
          </w:p>
        </w:tc>
        <w:tc>
          <w:tcPr>
            <w:tcW w:w="1620" w:type="dxa"/>
            <w:vMerge w:val="restart"/>
            <w:vAlign w:val="center"/>
          </w:tcPr>
          <w:p>
            <w:pPr>
              <w:jc w:val="center"/>
              <w:rPr>
                <w:sz w:val="18"/>
                <w:szCs w:val="18"/>
              </w:rPr>
            </w:pPr>
            <w:r>
              <w:rPr>
                <w:sz w:val="18"/>
                <w:szCs w:val="18"/>
              </w:rPr>
              <w:t>0.498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Merge w:val="continue"/>
            <w:vAlign w:val="center"/>
          </w:tcPr>
          <w:p>
            <w:pPr>
              <w:rPr>
                <w:sz w:val="18"/>
                <w:szCs w:val="18"/>
              </w:rPr>
            </w:pPr>
          </w:p>
        </w:tc>
        <w:tc>
          <w:tcPr>
            <w:tcW w:w="2007" w:type="dxa"/>
            <w:vAlign w:val="center"/>
          </w:tcPr>
          <w:p>
            <w:pPr>
              <w:widowControl/>
              <w:spacing w:line="0" w:lineRule="atLeast"/>
              <w:jc w:val="center"/>
              <w:rPr>
                <w:sz w:val="18"/>
                <w:szCs w:val="18"/>
              </w:rPr>
            </w:pPr>
            <w:r>
              <w:rPr>
                <w:rFonts w:hint="eastAsia"/>
                <w:sz w:val="18"/>
                <w:szCs w:val="18"/>
              </w:rPr>
              <w:t>1686.17*</w:t>
            </w:r>
          </w:p>
        </w:tc>
        <w:tc>
          <w:tcPr>
            <w:tcW w:w="2100" w:type="dxa"/>
            <w:vAlign w:val="center"/>
          </w:tcPr>
          <w:p>
            <w:pPr>
              <w:autoSpaceDE w:val="0"/>
              <w:autoSpaceDN w:val="0"/>
              <w:adjustRightInd w:val="0"/>
              <w:snapToGrid w:val="0"/>
              <w:jc w:val="center"/>
              <w:rPr>
                <w:rFonts w:ascii="TimesNewRomanPSMT" w:hAnsi="TimesNewRomanPSMT" w:cs="TimesNewRomanPSMT"/>
                <w:kern w:val="0"/>
                <w:sz w:val="18"/>
                <w:szCs w:val="18"/>
              </w:rPr>
            </w:pPr>
            <w:r>
              <w:rPr>
                <w:rFonts w:hint="eastAsia" w:ascii="TimesNewRomanPSMT" w:hAnsi="TimesNewRomanPSMT" w:cs="TimesNewRomanPSMT"/>
                <w:kern w:val="0"/>
                <w:sz w:val="18"/>
                <w:szCs w:val="18"/>
              </w:rPr>
              <w:t>当</w:t>
            </w:r>
            <w:r>
              <w:rPr>
                <w:rFonts w:hAnsi="宋体"/>
                <w:sz w:val="18"/>
                <w:szCs w:val="18"/>
              </w:rPr>
              <w:t>载重吨</w:t>
            </w:r>
            <w:r>
              <w:rPr>
                <w:kern w:val="0"/>
                <w:sz w:val="18"/>
                <w:szCs w:val="18"/>
              </w:rPr>
              <w:t>≤</w:t>
            </w:r>
            <w:r>
              <w:rPr>
                <w:rFonts w:hint="eastAsia" w:ascii="TimesNewRomanPSMT" w:hAnsi="TimesNewRomanPSMT" w:cs="TimesNewRomanPSMT"/>
                <w:kern w:val="0"/>
                <w:sz w:val="18"/>
                <w:szCs w:val="18"/>
              </w:rPr>
              <w:t>17,000</w:t>
            </w:r>
            <w:r>
              <w:rPr>
                <w:rFonts w:hint="eastAsia"/>
                <w:sz w:val="18"/>
                <w:szCs w:val="18"/>
              </w:rPr>
              <w:t>*时</w:t>
            </w:r>
            <w:r>
              <w:rPr>
                <w:rFonts w:hint="eastAsia" w:ascii="TimesNewRomanPSMT" w:hAnsi="TimesNewRomanPSMT" w:cs="TimesNewRomanPSMT"/>
                <w:kern w:val="0"/>
                <w:sz w:val="18"/>
                <w:szCs w:val="18"/>
              </w:rPr>
              <w:t>，取船舶</w:t>
            </w:r>
            <w:r>
              <w:rPr>
                <w:rFonts w:hint="eastAsia"/>
                <w:sz w:val="18"/>
                <w:szCs w:val="18"/>
              </w:rPr>
              <w:t>载重吨</w:t>
            </w:r>
          </w:p>
          <w:p>
            <w:pPr>
              <w:adjustRightInd w:val="0"/>
              <w:snapToGrid w:val="0"/>
              <w:jc w:val="center"/>
              <w:rPr>
                <w:sz w:val="18"/>
                <w:szCs w:val="18"/>
              </w:rPr>
            </w:pPr>
            <w:r>
              <w:rPr>
                <w:rFonts w:hint="eastAsia" w:ascii="TimesNewRomanPSMT" w:hAnsi="TimesNewRomanPSMT" w:cs="TimesNewRomanPSMT"/>
                <w:kern w:val="0"/>
                <w:sz w:val="18"/>
                <w:szCs w:val="18"/>
              </w:rPr>
              <w:t>当</w:t>
            </w:r>
            <w:r>
              <w:rPr>
                <w:rFonts w:hAnsi="宋体"/>
                <w:sz w:val="18"/>
                <w:szCs w:val="18"/>
              </w:rPr>
              <w:t>载重吨</w:t>
            </w:r>
            <w:r>
              <w:rPr>
                <w:rFonts w:hint="eastAsia" w:ascii="TimesNewRomanPSMT" w:hAnsi="TimesNewRomanPSMT" w:cs="TimesNewRomanPSMT"/>
                <w:kern w:val="0"/>
                <w:sz w:val="18"/>
                <w:szCs w:val="18"/>
              </w:rPr>
              <w:t>&gt;17,000</w:t>
            </w:r>
            <w:r>
              <w:rPr>
                <w:rFonts w:hint="eastAsia"/>
                <w:sz w:val="18"/>
                <w:szCs w:val="18"/>
              </w:rPr>
              <w:t>*时</w:t>
            </w:r>
            <w:r>
              <w:rPr>
                <w:rFonts w:hint="eastAsia" w:ascii="TimesNewRomanPSMT" w:hAnsi="TimesNewRomanPSMT" w:cs="TimesNewRomanPSMT"/>
                <w:kern w:val="0"/>
                <w:sz w:val="18"/>
                <w:szCs w:val="18"/>
              </w:rPr>
              <w:t>，取 17,000</w:t>
            </w:r>
          </w:p>
        </w:tc>
        <w:tc>
          <w:tcPr>
            <w:tcW w:w="1620"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w:t>
            </w:r>
            <w:r>
              <w:rPr>
                <w:rFonts w:hint="eastAsia"/>
                <w:sz w:val="18"/>
                <w:szCs w:val="18"/>
              </w:rPr>
              <w:t>2.27滚装货船（车辆运输船）</w:t>
            </w:r>
          </w:p>
        </w:tc>
        <w:tc>
          <w:tcPr>
            <w:tcW w:w="2007" w:type="dxa"/>
            <w:vAlign w:val="center"/>
          </w:tcPr>
          <w:p>
            <w:pPr>
              <w:widowControl/>
              <w:spacing w:line="0" w:lineRule="atLeast"/>
              <w:jc w:val="center"/>
              <w:rPr>
                <w:sz w:val="18"/>
                <w:szCs w:val="18"/>
              </w:rPr>
            </w:pPr>
            <w:r>
              <w:rPr>
                <w:rFonts w:hint="eastAsia"/>
                <w:sz w:val="18"/>
                <w:szCs w:val="18"/>
              </w:rPr>
              <w:t>当</w:t>
            </w:r>
            <w:r>
              <w:rPr>
                <w:sz w:val="18"/>
                <w:szCs w:val="18"/>
              </w:rPr>
              <w:t>DWT/GT&lt;0.3</w:t>
            </w:r>
            <w:r>
              <w:rPr>
                <w:rFonts w:hint="eastAsia"/>
                <w:sz w:val="18"/>
                <w:szCs w:val="18"/>
              </w:rPr>
              <w:t>时，取</w:t>
            </w:r>
            <w:r>
              <w:rPr>
                <w:sz w:val="18"/>
                <w:szCs w:val="18"/>
              </w:rPr>
              <w:t>(DWT/GT)</w:t>
            </w:r>
            <w:r>
              <w:rPr>
                <w:sz w:val="18"/>
                <w:szCs w:val="18"/>
                <w:vertAlign w:val="superscript"/>
              </w:rPr>
              <w:t>-0.7</w:t>
            </w:r>
            <w:r>
              <w:rPr>
                <w:kern w:val="0"/>
                <w:szCs w:val="21"/>
              </w:rPr>
              <w:t>·</w:t>
            </w:r>
            <w:r>
              <w:rPr>
                <w:sz w:val="18"/>
                <w:szCs w:val="18"/>
              </w:rPr>
              <w:t>780.36</w:t>
            </w:r>
          </w:p>
          <w:p>
            <w:pPr>
              <w:jc w:val="center"/>
              <w:rPr>
                <w:sz w:val="18"/>
                <w:szCs w:val="18"/>
              </w:rPr>
            </w:pPr>
            <w:r>
              <w:rPr>
                <w:rFonts w:hint="eastAsia"/>
                <w:sz w:val="18"/>
                <w:szCs w:val="18"/>
              </w:rPr>
              <w:t>当</w:t>
            </w:r>
            <w:r>
              <w:rPr>
                <w:sz w:val="18"/>
                <w:szCs w:val="18"/>
              </w:rPr>
              <w:t>DWT/GT</w:t>
            </w:r>
            <w:r>
              <w:rPr>
                <w:rFonts w:hint="eastAsia"/>
                <w:sz w:val="18"/>
                <w:szCs w:val="18"/>
              </w:rPr>
              <w:t>≥</w:t>
            </w:r>
            <w:r>
              <w:rPr>
                <w:sz w:val="18"/>
                <w:szCs w:val="18"/>
              </w:rPr>
              <w:t>0.3</w:t>
            </w:r>
            <w:r>
              <w:rPr>
                <w:rFonts w:hint="eastAsia"/>
                <w:sz w:val="18"/>
                <w:szCs w:val="18"/>
              </w:rPr>
              <w:t>时，取</w:t>
            </w:r>
            <w:r>
              <w:rPr>
                <w:sz w:val="18"/>
                <w:szCs w:val="18"/>
              </w:rPr>
              <w:t>1</w:t>
            </w:r>
            <w:r>
              <w:rPr>
                <w:rFonts w:hint="eastAsia"/>
                <w:sz w:val="18"/>
                <w:szCs w:val="18"/>
              </w:rPr>
              <w:t>,</w:t>
            </w:r>
            <w:r>
              <w:rPr>
                <w:sz w:val="18"/>
                <w:szCs w:val="18"/>
              </w:rPr>
              <w:t>812.63</w:t>
            </w:r>
          </w:p>
        </w:tc>
        <w:tc>
          <w:tcPr>
            <w:tcW w:w="2100" w:type="dxa"/>
            <w:vAlign w:val="center"/>
          </w:tcPr>
          <w:p>
            <w:pPr>
              <w:jc w:val="center"/>
              <w:rPr>
                <w:rFonts w:hAnsi="宋体"/>
                <w:sz w:val="18"/>
                <w:szCs w:val="18"/>
              </w:rPr>
            </w:pPr>
            <w:r>
              <w:rPr>
                <w:rFonts w:hint="eastAsia"/>
                <w:sz w:val="18"/>
                <w:szCs w:val="18"/>
              </w:rPr>
              <w:t>船舶载重吨</w:t>
            </w:r>
          </w:p>
        </w:tc>
        <w:tc>
          <w:tcPr>
            <w:tcW w:w="1620" w:type="dxa"/>
            <w:vAlign w:val="center"/>
          </w:tcPr>
          <w:p>
            <w:pPr>
              <w:jc w:val="center"/>
              <w:rPr>
                <w:sz w:val="18"/>
                <w:szCs w:val="18"/>
              </w:rPr>
            </w:pPr>
            <w:r>
              <w:rPr>
                <w:sz w:val="18"/>
                <w:szCs w:val="18"/>
              </w:rPr>
              <w:t>0.471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Merge w:val="restart"/>
            <w:vAlign w:val="center"/>
          </w:tcPr>
          <w:p>
            <w:pPr>
              <w:rPr>
                <w:sz w:val="18"/>
                <w:szCs w:val="18"/>
              </w:rPr>
            </w:pPr>
            <w:r>
              <w:rPr>
                <w:sz w:val="18"/>
                <w:szCs w:val="18"/>
              </w:rPr>
              <w:t>2.</w:t>
            </w:r>
            <w:r>
              <w:rPr>
                <w:rFonts w:hint="eastAsia"/>
                <w:sz w:val="18"/>
                <w:szCs w:val="18"/>
              </w:rPr>
              <w:t>2.28</w:t>
            </w:r>
            <w:r>
              <w:rPr>
                <w:sz w:val="18"/>
                <w:szCs w:val="18"/>
              </w:rPr>
              <w:t xml:space="preserve"> </w:t>
            </w:r>
            <w:r>
              <w:rPr>
                <w:rFonts w:hint="eastAsia"/>
                <w:sz w:val="18"/>
                <w:szCs w:val="18"/>
              </w:rPr>
              <w:t>滚装客船</w:t>
            </w:r>
          </w:p>
        </w:tc>
        <w:tc>
          <w:tcPr>
            <w:tcW w:w="2007" w:type="dxa"/>
            <w:vAlign w:val="center"/>
          </w:tcPr>
          <w:p>
            <w:pPr>
              <w:widowControl/>
              <w:spacing w:line="0" w:lineRule="atLeast"/>
              <w:jc w:val="center"/>
              <w:rPr>
                <w:sz w:val="18"/>
                <w:szCs w:val="18"/>
              </w:rPr>
            </w:pPr>
            <w:r>
              <w:rPr>
                <w:sz w:val="18"/>
                <w:szCs w:val="18"/>
              </w:rPr>
              <w:t>752.16</w:t>
            </w:r>
          </w:p>
        </w:tc>
        <w:tc>
          <w:tcPr>
            <w:tcW w:w="2100" w:type="dxa"/>
            <w:vAlign w:val="center"/>
          </w:tcPr>
          <w:p>
            <w:pPr>
              <w:jc w:val="center"/>
              <w:rPr>
                <w:sz w:val="18"/>
                <w:szCs w:val="18"/>
              </w:rPr>
            </w:pPr>
            <w:r>
              <w:rPr>
                <w:rFonts w:hint="eastAsia"/>
                <w:sz w:val="18"/>
                <w:szCs w:val="18"/>
              </w:rPr>
              <w:t>船舶载重吨</w:t>
            </w:r>
          </w:p>
        </w:tc>
        <w:tc>
          <w:tcPr>
            <w:tcW w:w="1620" w:type="dxa"/>
            <w:vMerge w:val="restart"/>
            <w:vAlign w:val="center"/>
          </w:tcPr>
          <w:p>
            <w:pPr>
              <w:jc w:val="center"/>
              <w:rPr>
                <w:sz w:val="18"/>
                <w:szCs w:val="18"/>
              </w:rPr>
            </w:pPr>
            <w:r>
              <w:rPr>
                <w:sz w:val="18"/>
                <w:szCs w:val="18"/>
              </w:rPr>
              <w:t>0.381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Merge w:val="continue"/>
            <w:vAlign w:val="center"/>
          </w:tcPr>
          <w:p>
            <w:pPr>
              <w:rPr>
                <w:sz w:val="18"/>
                <w:szCs w:val="18"/>
              </w:rPr>
            </w:pPr>
          </w:p>
        </w:tc>
        <w:tc>
          <w:tcPr>
            <w:tcW w:w="2007" w:type="dxa"/>
            <w:vAlign w:val="center"/>
          </w:tcPr>
          <w:p>
            <w:pPr>
              <w:widowControl/>
              <w:spacing w:line="0" w:lineRule="atLeast"/>
              <w:jc w:val="center"/>
              <w:rPr>
                <w:sz w:val="18"/>
                <w:szCs w:val="18"/>
              </w:rPr>
            </w:pPr>
            <w:r>
              <w:rPr>
                <w:rFonts w:hint="eastAsia"/>
                <w:sz w:val="18"/>
                <w:szCs w:val="18"/>
              </w:rPr>
              <w:t>902.59*</w:t>
            </w:r>
          </w:p>
        </w:tc>
        <w:tc>
          <w:tcPr>
            <w:tcW w:w="2100" w:type="dxa"/>
            <w:vAlign w:val="center"/>
          </w:tcPr>
          <w:p>
            <w:pPr>
              <w:autoSpaceDE w:val="0"/>
              <w:autoSpaceDN w:val="0"/>
              <w:adjustRightInd w:val="0"/>
              <w:snapToGrid w:val="0"/>
              <w:jc w:val="center"/>
              <w:rPr>
                <w:rFonts w:ascii="TimesNewRomanPSMT" w:hAnsi="TimesNewRomanPSMT" w:cs="TimesNewRomanPSMT"/>
                <w:kern w:val="0"/>
                <w:sz w:val="18"/>
                <w:szCs w:val="18"/>
              </w:rPr>
            </w:pPr>
            <w:r>
              <w:rPr>
                <w:rFonts w:hint="eastAsia" w:ascii="TimesNewRomanPSMT" w:hAnsi="TimesNewRomanPSMT" w:cs="TimesNewRomanPSMT"/>
                <w:kern w:val="0"/>
                <w:sz w:val="18"/>
                <w:szCs w:val="18"/>
              </w:rPr>
              <w:t>当</w:t>
            </w:r>
            <w:r>
              <w:rPr>
                <w:rFonts w:hAnsi="宋体"/>
                <w:sz w:val="18"/>
                <w:szCs w:val="18"/>
              </w:rPr>
              <w:t>载重吨</w:t>
            </w:r>
            <w:r>
              <w:rPr>
                <w:kern w:val="0"/>
                <w:sz w:val="18"/>
                <w:szCs w:val="18"/>
              </w:rPr>
              <w:t>≤</w:t>
            </w:r>
            <w:r>
              <w:rPr>
                <w:rFonts w:hint="eastAsia" w:ascii="TimesNewRomanPSMT" w:hAnsi="TimesNewRomanPSMT" w:cs="TimesNewRomanPSMT"/>
                <w:kern w:val="0"/>
                <w:sz w:val="18"/>
                <w:szCs w:val="18"/>
              </w:rPr>
              <w:t>10,000</w:t>
            </w:r>
            <w:r>
              <w:rPr>
                <w:rFonts w:hint="eastAsia"/>
                <w:sz w:val="18"/>
                <w:szCs w:val="18"/>
              </w:rPr>
              <w:t>*时</w:t>
            </w:r>
            <w:r>
              <w:rPr>
                <w:rFonts w:hint="eastAsia" w:ascii="TimesNewRomanPSMT" w:hAnsi="TimesNewRomanPSMT" w:cs="TimesNewRomanPSMT"/>
                <w:kern w:val="0"/>
                <w:sz w:val="18"/>
                <w:szCs w:val="18"/>
              </w:rPr>
              <w:t>，取船舶</w:t>
            </w:r>
            <w:r>
              <w:rPr>
                <w:rFonts w:hint="eastAsia"/>
                <w:sz w:val="18"/>
                <w:szCs w:val="18"/>
              </w:rPr>
              <w:t>载重吨</w:t>
            </w:r>
          </w:p>
          <w:p>
            <w:pPr>
              <w:adjustRightInd w:val="0"/>
              <w:snapToGrid w:val="0"/>
              <w:jc w:val="center"/>
              <w:rPr>
                <w:sz w:val="18"/>
                <w:szCs w:val="18"/>
              </w:rPr>
            </w:pPr>
            <w:r>
              <w:rPr>
                <w:rFonts w:hint="eastAsia" w:ascii="TimesNewRomanPSMT" w:hAnsi="TimesNewRomanPSMT" w:cs="TimesNewRomanPSMT"/>
                <w:kern w:val="0"/>
                <w:sz w:val="18"/>
                <w:szCs w:val="18"/>
              </w:rPr>
              <w:t>当</w:t>
            </w:r>
            <w:r>
              <w:rPr>
                <w:rFonts w:hAnsi="宋体"/>
                <w:sz w:val="18"/>
                <w:szCs w:val="18"/>
              </w:rPr>
              <w:t>载重吨</w:t>
            </w:r>
            <w:r>
              <w:rPr>
                <w:rFonts w:hint="eastAsia" w:ascii="TimesNewRomanPSMT" w:hAnsi="TimesNewRomanPSMT" w:cs="TimesNewRomanPSMT"/>
                <w:kern w:val="0"/>
                <w:sz w:val="18"/>
                <w:szCs w:val="18"/>
              </w:rPr>
              <w:t>&gt;10,000</w:t>
            </w:r>
            <w:r>
              <w:rPr>
                <w:rFonts w:hint="eastAsia"/>
                <w:sz w:val="18"/>
                <w:szCs w:val="18"/>
              </w:rPr>
              <w:t>*时</w:t>
            </w:r>
            <w:r>
              <w:rPr>
                <w:rFonts w:hint="eastAsia" w:ascii="TimesNewRomanPSMT" w:hAnsi="TimesNewRomanPSMT" w:cs="TimesNewRomanPSMT"/>
                <w:kern w:val="0"/>
                <w:sz w:val="18"/>
                <w:szCs w:val="18"/>
              </w:rPr>
              <w:t>，取 10,000</w:t>
            </w:r>
          </w:p>
        </w:tc>
        <w:tc>
          <w:tcPr>
            <w:tcW w:w="1620"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vAlign w:val="center"/>
          </w:tcPr>
          <w:p>
            <w:pPr>
              <w:rPr>
                <w:sz w:val="18"/>
                <w:szCs w:val="18"/>
              </w:rPr>
            </w:pPr>
            <w:r>
              <w:rPr>
                <w:sz w:val="18"/>
                <w:szCs w:val="18"/>
              </w:rPr>
              <w:t>2.2</w:t>
            </w:r>
            <w:r>
              <w:rPr>
                <w:rFonts w:hint="eastAsia"/>
                <w:sz w:val="18"/>
                <w:szCs w:val="18"/>
              </w:rPr>
              <w:t>.29</w:t>
            </w:r>
            <w:r>
              <w:rPr>
                <w:rFonts w:hAnsi="宋体"/>
                <w:sz w:val="18"/>
                <w:szCs w:val="18"/>
              </w:rPr>
              <w:t>液货船</w:t>
            </w:r>
          </w:p>
        </w:tc>
        <w:tc>
          <w:tcPr>
            <w:tcW w:w="2007" w:type="dxa"/>
            <w:vAlign w:val="center"/>
          </w:tcPr>
          <w:p>
            <w:pPr>
              <w:jc w:val="center"/>
              <w:rPr>
                <w:sz w:val="18"/>
                <w:szCs w:val="18"/>
              </w:rPr>
            </w:pPr>
            <w:r>
              <w:rPr>
                <w:sz w:val="18"/>
                <w:szCs w:val="18"/>
              </w:rPr>
              <w:t>1</w:t>
            </w:r>
            <w:r>
              <w:rPr>
                <w:rFonts w:hint="eastAsia"/>
                <w:sz w:val="18"/>
                <w:szCs w:val="18"/>
              </w:rPr>
              <w:t>,</w:t>
            </w:r>
            <w:r>
              <w:rPr>
                <w:sz w:val="18"/>
                <w:szCs w:val="18"/>
              </w:rPr>
              <w:t>218.80</w:t>
            </w:r>
          </w:p>
        </w:tc>
        <w:tc>
          <w:tcPr>
            <w:tcW w:w="2100" w:type="dxa"/>
            <w:vAlign w:val="center"/>
          </w:tcPr>
          <w:p>
            <w:pPr>
              <w:jc w:val="center"/>
              <w:rPr>
                <w:sz w:val="18"/>
                <w:szCs w:val="18"/>
              </w:rPr>
            </w:pPr>
            <w:r>
              <w:rPr>
                <w:rFonts w:hAnsi="宋体"/>
                <w:sz w:val="18"/>
                <w:szCs w:val="18"/>
              </w:rPr>
              <w:t>船舶载重吨</w:t>
            </w:r>
          </w:p>
        </w:tc>
        <w:tc>
          <w:tcPr>
            <w:tcW w:w="1620" w:type="dxa"/>
            <w:vAlign w:val="center"/>
          </w:tcPr>
          <w:p>
            <w:pPr>
              <w:jc w:val="center"/>
              <w:rPr>
                <w:sz w:val="18"/>
                <w:szCs w:val="18"/>
              </w:rPr>
            </w:pPr>
            <w:r>
              <w:rPr>
                <w:sz w:val="18"/>
                <w:szCs w:val="18"/>
              </w:rPr>
              <w:t>0.488</w:t>
            </w:r>
          </w:p>
        </w:tc>
      </w:tr>
    </w:tbl>
    <w:p>
      <w:pPr>
        <w:ind w:firstLine="360" w:firstLineChars="200"/>
      </w:pPr>
      <w:r>
        <w:rPr>
          <w:rFonts w:hint="eastAsia"/>
          <w:sz w:val="18"/>
          <w:szCs w:val="18"/>
        </w:rPr>
        <w:t>*用于Phase 2及以后。</w:t>
      </w:r>
    </w:p>
    <w:p>
      <w:pPr>
        <w:pStyle w:val="10"/>
        <w:ind w:firstLine="420"/>
        <w:rPr>
          <w:rFonts w:ascii="Times New Roman" w:hAnsi="Times New Roman"/>
          <w:lang w:bidi="ar"/>
        </w:rPr>
      </w:pPr>
      <w:r>
        <w:rPr>
          <w:rFonts w:ascii="Times New Roman" w:hAnsi="Times New Roman"/>
          <w:lang w:bidi="ar"/>
        </w:rPr>
        <w:t>4 如船舶的设计允许其属于</w:t>
      </w:r>
      <w:r>
        <w:rPr>
          <w:rFonts w:hint="eastAsia" w:ascii="Times New Roman" w:hAnsi="Times New Roman"/>
          <w:lang w:bidi="ar"/>
        </w:rPr>
        <w:t>表2中</w:t>
      </w:r>
      <w:r>
        <w:rPr>
          <w:rFonts w:ascii="Times New Roman" w:hAnsi="Times New Roman"/>
          <w:lang w:bidi="ar"/>
        </w:rPr>
        <w:t>定义的一类以上船型，则该船的Required EEDI应为</w:t>
      </w:r>
      <w:r>
        <w:rPr>
          <w:rFonts w:hint="eastAsia" w:ascii="Times New Roman" w:hAnsi="Times New Roman"/>
          <w:lang w:bidi="ar"/>
        </w:rPr>
        <w:t>其中</w:t>
      </w:r>
      <w:r>
        <w:rPr>
          <w:rFonts w:ascii="Times New Roman" w:hAnsi="Times New Roman"/>
          <w:lang w:bidi="ar"/>
        </w:rPr>
        <w:t>最严格的Required EEDI（最低值）。</w:t>
      </w:r>
    </w:p>
    <w:p>
      <w:pPr>
        <w:pStyle w:val="10"/>
        <w:ind w:firstLine="420"/>
        <w:rPr>
          <w:rFonts w:ascii="Times New Roman" w:hAnsi="Times New Roman"/>
          <w:lang w:bidi="ar"/>
        </w:rPr>
      </w:pPr>
      <w:r>
        <w:rPr>
          <w:rFonts w:ascii="Times New Roman" w:hAnsi="Times New Roman"/>
          <w:lang w:bidi="ar"/>
        </w:rPr>
        <w:t>5 对本条所适用的每艘船舶，所安装的推进动力应不</w:t>
      </w:r>
      <w:r>
        <w:rPr>
          <w:rFonts w:hint="eastAsia" w:ascii="Times New Roman" w:hAnsi="Times New Roman"/>
          <w:lang w:bidi="ar"/>
        </w:rPr>
        <w:t>小于国际海事组织</w:t>
      </w:r>
      <w:r>
        <w:rPr>
          <w:rFonts w:ascii="Times New Roman" w:hAnsi="Times New Roman"/>
          <w:lang w:bidi="ar"/>
        </w:rPr>
        <w:t>制定的指南</w:t>
      </w:r>
      <w:r>
        <w:rPr>
          <w:rFonts w:ascii="Times New Roman" w:hAnsi="Times New Roman"/>
          <w:vertAlign w:val="superscript"/>
          <w:lang w:bidi="ar"/>
        </w:rPr>
        <w:footnoteReference w:id="34"/>
      </w:r>
      <w:r>
        <w:rPr>
          <w:rFonts w:ascii="Times New Roman" w:hAnsi="Times New Roman"/>
          <w:lang w:bidi="ar"/>
        </w:rPr>
        <w:t>中所定义的</w:t>
      </w:r>
      <w:r>
        <w:rPr>
          <w:rFonts w:hint="eastAsia" w:ascii="Times New Roman" w:hAnsi="Times New Roman"/>
          <w:lang w:bidi="ar"/>
        </w:rPr>
        <w:t>船舶</w:t>
      </w:r>
      <w:r>
        <w:rPr>
          <w:rFonts w:ascii="Times New Roman" w:hAnsi="Times New Roman"/>
          <w:lang w:bidi="ar"/>
        </w:rPr>
        <w:t>在恶劣</w:t>
      </w:r>
      <w:r>
        <w:rPr>
          <w:rFonts w:hint="eastAsia" w:ascii="Times New Roman" w:hAnsi="Times New Roman"/>
          <w:lang w:bidi="ar"/>
        </w:rPr>
        <w:t>海</w:t>
      </w:r>
      <w:r>
        <w:rPr>
          <w:rFonts w:ascii="Times New Roman" w:hAnsi="Times New Roman"/>
          <w:lang w:bidi="ar"/>
        </w:rPr>
        <w:t>况下</w:t>
      </w:r>
      <w:r>
        <w:rPr>
          <w:rFonts w:hint="eastAsia" w:ascii="Times New Roman" w:hAnsi="Times New Roman"/>
          <w:lang w:bidi="ar"/>
        </w:rPr>
        <w:t>维持</w:t>
      </w:r>
      <w:r>
        <w:rPr>
          <w:rFonts w:ascii="Times New Roman" w:hAnsi="Times New Roman"/>
          <w:lang w:bidi="ar"/>
        </w:rPr>
        <w:t>操纵性所需要的推进动力。</w:t>
      </w:r>
    </w:p>
    <w:p>
      <w:pPr>
        <w:pStyle w:val="10"/>
        <w:ind w:firstLine="420"/>
        <w:rPr>
          <w:rFonts w:ascii="Times New Roman" w:hAnsi="Times New Roman"/>
          <w:color w:val="FF0000"/>
          <w:u w:val="single"/>
          <w:lang w:bidi="ar"/>
        </w:rPr>
      </w:pPr>
      <w:r>
        <w:rPr>
          <w:rFonts w:ascii="Times New Roman" w:hAnsi="Times New Roman"/>
          <w:lang w:bidi="ar"/>
        </w:rPr>
        <w:t>6 在第1阶段开始</w:t>
      </w:r>
      <w:r>
        <w:rPr>
          <w:rFonts w:hint="eastAsia" w:ascii="Times New Roman" w:hAnsi="Times New Roman"/>
          <w:lang w:bidi="ar"/>
        </w:rPr>
        <w:t>和</w:t>
      </w:r>
      <w:r>
        <w:rPr>
          <w:rFonts w:ascii="Times New Roman" w:hAnsi="Times New Roman"/>
          <w:lang w:bidi="ar"/>
        </w:rPr>
        <w:t>第2阶段中</w:t>
      </w:r>
      <w:r>
        <w:rPr>
          <w:rFonts w:hint="eastAsia" w:ascii="Times New Roman" w:hAnsi="Times New Roman"/>
          <w:lang w:bidi="ar"/>
        </w:rPr>
        <w:t>期</w:t>
      </w:r>
      <w:r>
        <w:rPr>
          <w:rFonts w:ascii="Times New Roman" w:hAnsi="Times New Roman"/>
          <w:lang w:bidi="ar"/>
        </w:rPr>
        <w:t>，</w:t>
      </w:r>
      <w:r>
        <w:rPr>
          <w:rFonts w:hint="eastAsia" w:ascii="Times New Roman" w:hAnsi="Times New Roman"/>
          <w:lang w:bidi="ar"/>
        </w:rPr>
        <w:t>国际海事组织</w:t>
      </w:r>
      <w:r>
        <w:rPr>
          <w:rFonts w:ascii="Times New Roman" w:hAnsi="Times New Roman"/>
          <w:lang w:bidi="ar"/>
        </w:rPr>
        <w:t>应对技术发展状况进行评审，并且，如证明有必要，调整本条规定的时间段、相关船型的EEDI基线参数和折减率。</w:t>
      </w:r>
      <w:r>
        <w:rPr>
          <w:rFonts w:hint="eastAsia" w:ascii="Times New Roman" w:hAnsi="Times New Roman"/>
          <w:lang w:bidi="ar"/>
        </w:rPr>
        <w:t>”</w:t>
      </w:r>
    </w:p>
    <w:p>
      <w:pPr>
        <w:adjustRightInd w:val="0"/>
        <w:snapToGrid w:val="0"/>
        <w:ind w:firstLine="420" w:firstLineChars="200"/>
        <w:rPr>
          <w:rFonts w:ascii="楷体" w:hAnsi="楷体" w:eastAsia="楷体" w:cs="楷体"/>
          <w:snapToGrid w:val="0"/>
          <w:color w:val="0000FF"/>
          <w:kern w:val="0"/>
          <w:szCs w:val="21"/>
        </w:rPr>
      </w:pPr>
    </w:p>
    <w:p>
      <w:pPr>
        <w:ind w:firstLine="397"/>
        <w:rPr>
          <w:rFonts w:ascii="楷体" w:hAnsi="楷体" w:eastAsia="楷体"/>
        </w:rPr>
      </w:pPr>
      <w:r>
        <w:rPr>
          <w:rFonts w:hint="eastAsia" w:ascii="楷体" w:hAnsi="楷体" w:eastAsia="楷体"/>
        </w:rPr>
        <w:t>新增第25条如下：</w:t>
      </w:r>
    </w:p>
    <w:p>
      <w:pPr>
        <w:pStyle w:val="10"/>
        <w:jc w:val="center"/>
        <w:outlineLvl w:val="3"/>
        <w:rPr>
          <w:rFonts w:ascii="Times New Roman" w:hAnsi="Times New Roman" w:eastAsia="黑体"/>
          <w:bCs/>
          <w:color w:val="FF0000"/>
          <w:u w:val="single"/>
        </w:rPr>
      </w:pPr>
      <w:bookmarkStart w:id="95" w:name="_Toc12241"/>
      <w:r>
        <w:rPr>
          <w:rFonts w:hint="eastAsia" w:hAnsi="宋体" w:eastAsia="宋体" w:cs="宋体"/>
          <w:bCs/>
        </w:rPr>
        <w:t>“</w:t>
      </w:r>
      <w:r>
        <w:rPr>
          <w:rFonts w:ascii="Times New Roman" w:hAnsi="Times New Roman" w:eastAsia="黑体"/>
          <w:bCs/>
          <w:color w:val="FF0000"/>
          <w:u w:val="single"/>
        </w:rPr>
        <w:t>第2</w:t>
      </w:r>
      <w:r>
        <w:rPr>
          <w:rFonts w:hint="eastAsia" w:ascii="Times New Roman" w:hAnsi="Times New Roman" w:eastAsia="黑体"/>
          <w:bCs/>
          <w:color w:val="FF0000"/>
          <w:u w:val="single"/>
        </w:rPr>
        <w:t>5</w:t>
      </w:r>
      <w:r>
        <w:rPr>
          <w:rFonts w:ascii="Times New Roman" w:hAnsi="Times New Roman" w:eastAsia="黑体"/>
          <w:bCs/>
          <w:color w:val="FF0000"/>
          <w:u w:val="single"/>
        </w:rPr>
        <w:t>条</w:t>
      </w:r>
      <w:r>
        <w:rPr>
          <w:rFonts w:hint="eastAsia" w:ascii="Times New Roman" w:hAnsi="Times New Roman" w:eastAsia="黑体"/>
          <w:bCs/>
          <w:color w:val="FF0000"/>
          <w:u w:val="single"/>
        </w:rPr>
        <w:t xml:space="preserve"> </w:t>
      </w:r>
      <w:r>
        <w:rPr>
          <w:rFonts w:ascii="Times New Roman" w:hAnsi="Times New Roman" w:eastAsia="黑体"/>
          <w:bCs/>
          <w:color w:val="FF0000"/>
          <w:u w:val="single"/>
        </w:rPr>
        <w:t xml:space="preserve"> </w:t>
      </w:r>
      <w:r>
        <w:rPr>
          <w:rFonts w:hint="eastAsia" w:ascii="Times New Roman" w:hAnsi="Times New Roman" w:eastAsia="黑体"/>
          <w:bCs/>
          <w:color w:val="FF0000"/>
          <w:u w:val="single"/>
        </w:rPr>
        <w:t>要求的现有船舶能效设计指数（</w:t>
      </w:r>
      <w:r>
        <w:rPr>
          <w:rFonts w:ascii="Times New Roman" w:hAnsi="Times New Roman" w:eastAsia="黑体"/>
          <w:bCs/>
          <w:color w:val="FF0000"/>
          <w:u w:val="single"/>
        </w:rPr>
        <w:t>Required EE</w:t>
      </w:r>
      <w:r>
        <w:rPr>
          <w:rFonts w:hint="eastAsia" w:ascii="Times New Roman" w:hAnsi="Times New Roman" w:eastAsia="黑体"/>
          <w:bCs/>
          <w:color w:val="FF0000"/>
          <w:u w:val="single"/>
        </w:rPr>
        <w:t>X</w:t>
      </w:r>
      <w:r>
        <w:rPr>
          <w:rFonts w:ascii="Times New Roman" w:hAnsi="Times New Roman" w:eastAsia="黑体"/>
          <w:bCs/>
          <w:color w:val="FF0000"/>
          <w:u w:val="single"/>
        </w:rPr>
        <w:t>I</w:t>
      </w:r>
      <w:r>
        <w:rPr>
          <w:rFonts w:hint="eastAsia" w:ascii="Times New Roman" w:hAnsi="Times New Roman" w:eastAsia="黑体"/>
          <w:bCs/>
          <w:color w:val="FF0000"/>
          <w:u w:val="single"/>
        </w:rPr>
        <w:t>）</w:t>
      </w:r>
      <w:bookmarkEnd w:id="95"/>
    </w:p>
    <w:p>
      <w:pPr>
        <w:pStyle w:val="10"/>
        <w:ind w:firstLine="420"/>
        <w:rPr>
          <w:rFonts w:ascii="Times New Roman" w:hAnsi="Times New Roman"/>
          <w:color w:val="FF0000"/>
          <w:u w:val="single"/>
          <w:lang w:bidi="ar"/>
        </w:rPr>
      </w:pPr>
    </w:p>
    <w:p>
      <w:pPr>
        <w:pStyle w:val="10"/>
        <w:ind w:firstLine="420"/>
        <w:rPr>
          <w:rFonts w:ascii="Times New Roman" w:hAnsi="Times New Roman"/>
          <w:lang w:bidi="ar"/>
        </w:rPr>
      </w:pPr>
      <w:r>
        <w:rPr>
          <w:rFonts w:ascii="Times New Roman" w:hAnsi="Times New Roman"/>
          <w:lang w:bidi="ar"/>
        </w:rPr>
        <w:t>1  对下列每艘：</w:t>
      </w:r>
    </w:p>
    <w:p>
      <w:pPr>
        <w:pStyle w:val="10"/>
        <w:ind w:left="1108" w:leftChars="330" w:hanging="415" w:hangingChars="198"/>
        <w:rPr>
          <w:rFonts w:ascii="Times New Roman" w:hAnsi="Times New Roman"/>
          <w:lang w:bidi="ar"/>
        </w:rPr>
      </w:pPr>
      <w:r>
        <w:rPr>
          <w:rFonts w:ascii="Times New Roman" w:hAnsi="Times New Roman"/>
          <w:lang w:bidi="ar"/>
        </w:rPr>
        <w:t xml:space="preserve">.1  </w:t>
      </w:r>
      <w:r>
        <w:rPr>
          <w:rFonts w:hint="eastAsia" w:ascii="Times New Roman" w:hAnsi="Times New Roman"/>
          <w:lang w:bidi="ar"/>
        </w:rPr>
        <w:t>船舶；和</w:t>
      </w:r>
    </w:p>
    <w:p>
      <w:pPr>
        <w:pStyle w:val="10"/>
        <w:ind w:left="1108" w:leftChars="330" w:hanging="415" w:hangingChars="198"/>
        <w:rPr>
          <w:rFonts w:ascii="Times New Roman" w:hAnsi="Times New Roman"/>
          <w:lang w:bidi="ar"/>
        </w:rPr>
      </w:pPr>
      <w:r>
        <w:rPr>
          <w:rFonts w:ascii="Times New Roman" w:hAnsi="Times New Roman"/>
          <w:lang w:bidi="ar"/>
        </w:rPr>
        <w:t xml:space="preserve">.2  </w:t>
      </w:r>
      <w:r>
        <w:rPr>
          <w:rFonts w:hint="eastAsia" w:ascii="Times New Roman" w:hAnsi="Times New Roman"/>
          <w:lang w:bidi="ar"/>
        </w:rPr>
        <w:t xml:space="preserve">经过重大改建的船舶 </w:t>
      </w:r>
    </w:p>
    <w:p>
      <w:pPr>
        <w:pStyle w:val="10"/>
        <w:ind w:firstLine="420"/>
        <w:rPr>
          <w:rFonts w:ascii="Times New Roman" w:hAnsi="Times New Roman"/>
          <w:lang w:bidi="ar"/>
        </w:rPr>
      </w:pPr>
      <w:r>
        <w:rPr>
          <w:rFonts w:ascii="Times New Roman" w:hAnsi="Times New Roman"/>
          <w:lang w:bidi="ar"/>
        </w:rPr>
        <w:t>且其属于第2.2.5、2.2.7、2.2.9、2.2.11、2.2.14 至 2.2.16、2.2.22和 2.2.26至2.2.29条所定义的类别之一且适用于本章，Attained EEXI应：</w:t>
      </w:r>
    </w:p>
    <w:p>
      <w:pPr>
        <w:autoSpaceDE w:val="0"/>
        <w:autoSpaceDN w:val="0"/>
        <w:adjustRightInd w:val="0"/>
        <w:spacing w:after="50"/>
        <w:jc w:val="center"/>
        <w:rPr>
          <w:rFonts w:ascii="Times New Roman" w:hAnsi="Times New Roman" w:cs="Times New Roman"/>
          <w:kern w:val="0"/>
          <w:szCs w:val="21"/>
        </w:rPr>
      </w:pPr>
      <w:r>
        <w:rPr>
          <w:rFonts w:ascii="Times New Roman" w:hAnsi="Times New Roman" w:cs="Times New Roman"/>
          <w:kern w:val="0"/>
          <w:szCs w:val="21"/>
        </w:rPr>
        <w:t>Attained EEXI ≤ Required EEXI = (1-</w:t>
      </w:r>
      <w:r>
        <w:rPr>
          <w:rFonts w:ascii="Times New Roman" w:hAnsi="Times New Roman" w:cs="Times New Roman"/>
          <w:kern w:val="0"/>
          <w:position w:val="-22"/>
          <w:szCs w:val="21"/>
        </w:rPr>
        <w:object>
          <v:shape id="_x0000_i1026" o:spt="75" type="#_x0000_t75" style="height:27.6pt;width:20.1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cs="Times New Roman"/>
          <w:kern w:val="0"/>
          <w:szCs w:val="21"/>
        </w:rPr>
        <w:t>)·EEDI基线值</w:t>
      </w:r>
    </w:p>
    <w:p>
      <w:pPr>
        <w:pStyle w:val="10"/>
        <w:ind w:firstLine="420"/>
        <w:rPr>
          <w:rFonts w:ascii="Times New Roman" w:hAnsi="Times New Roman" w:cs="Times New Roman"/>
          <w:lang w:bidi="ar"/>
        </w:rPr>
      </w:pPr>
      <w:r>
        <w:rPr>
          <w:rFonts w:ascii="Times New Roman" w:hAnsi="Times New Roman" w:cs="Times New Roman"/>
          <w:lang w:bidi="ar"/>
        </w:rPr>
        <w:t>式中，Y为表3所规定的Required EEXI相对于EEDI基线的折减系数。</w:t>
      </w:r>
    </w:p>
    <w:p>
      <w:pPr>
        <w:pStyle w:val="10"/>
        <w:ind w:firstLine="420"/>
        <w:rPr>
          <w:rFonts w:ascii="Times New Roman" w:hAnsi="Times New Roman" w:cs="Times New Roman"/>
          <w:lang w:bidi="ar"/>
        </w:rPr>
      </w:pPr>
    </w:p>
    <w:p>
      <w:pPr>
        <w:pStyle w:val="10"/>
        <w:ind w:firstLine="422" w:firstLineChars="200"/>
        <w:jc w:val="center"/>
        <w:rPr>
          <w:rFonts w:ascii="Times New Roman" w:hAnsi="Times New Roman"/>
          <w:b/>
          <w:bCs/>
        </w:rPr>
      </w:pPr>
      <w:r>
        <w:rPr>
          <w:rFonts w:ascii="Times New Roman" w:hAnsi="Times New Roman"/>
          <w:b/>
          <w:bCs/>
        </w:rPr>
        <w:t>表3</w:t>
      </w:r>
      <w:r>
        <w:rPr>
          <w:rFonts w:hint="eastAsia" w:ascii="Times New Roman" w:hAnsi="Times New Roman"/>
          <w:b/>
          <w:bCs/>
        </w:rPr>
        <w:t xml:space="preserve"> </w:t>
      </w:r>
      <w:r>
        <w:rPr>
          <w:rFonts w:ascii="Times New Roman" w:hAnsi="Times New Roman"/>
          <w:b/>
          <w:bCs/>
        </w:rPr>
        <w:t xml:space="preserve"> EEXI相对于EEDI基线的折减系数（百分比）</w:t>
      </w:r>
    </w:p>
    <w:p>
      <w:pPr>
        <w:pStyle w:val="10"/>
        <w:ind w:firstLine="422" w:firstLineChars="200"/>
        <w:jc w:val="center"/>
        <w:rPr>
          <w:rFonts w:ascii="Times New Roman" w:hAnsi="Times New Roman"/>
          <w:b/>
          <w:bCs/>
        </w:rPr>
      </w:pPr>
    </w:p>
    <w:tbl>
      <w:tblPr>
        <w:tblStyle w:val="26"/>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3"/>
        <w:gridCol w:w="2868"/>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船型</w:t>
            </w:r>
          </w:p>
        </w:tc>
        <w:tc>
          <w:tcPr>
            <w:tcW w:w="2902"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sz w:val="18"/>
                <w:szCs w:val="18"/>
              </w:rPr>
              <w:t>尺度</w:t>
            </w:r>
          </w:p>
        </w:tc>
        <w:tc>
          <w:tcPr>
            <w:tcW w:w="2851"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折减系数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散货船</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200,000 DWT及以上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20,000- 200,000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10,000 -20,000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气体运输船</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15,000 DWT及以上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10,000 -15,000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2,000-10,000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液货船</w:t>
            </w:r>
          </w:p>
        </w:tc>
        <w:tc>
          <w:tcPr>
            <w:tcW w:w="2902" w:type="dxa"/>
            <w:shd w:val="clear" w:color="auto" w:fill="auto"/>
            <w:vAlign w:val="center"/>
          </w:tcPr>
          <w:p>
            <w:pPr>
              <w:autoSpaceDE w:val="0"/>
              <w:autoSpaceDN w:val="0"/>
              <w:adjustRightInd w:val="0"/>
              <w:ind w:firstLine="630" w:firstLineChars="350"/>
              <w:jc w:val="center"/>
              <w:rPr>
                <w:rFonts w:ascii="Times New Roman" w:hAnsi="Times New Roman" w:cs="Times New Roman"/>
                <w:kern w:val="0"/>
                <w:sz w:val="18"/>
                <w:szCs w:val="18"/>
              </w:rPr>
            </w:pPr>
            <w:r>
              <w:rPr>
                <w:rFonts w:ascii="Times New Roman" w:hAnsi="Times New Roman" w:cs="Times New Roman"/>
                <w:kern w:val="0"/>
                <w:sz w:val="18"/>
                <w:szCs w:val="18"/>
              </w:rPr>
              <w:t>200,000 DWT及以上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20,000 -200,000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4,000 - 20,000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集装箱船</w:t>
            </w: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200,000 DWT及以上</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120,000 - 200,000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80,000 -120,000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40,000 - 80,000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15,000 -40,000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10,000 - 15,000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杂货船</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 xml:space="preserve">15,000 DWT </w:t>
            </w:r>
            <w:r>
              <w:rPr>
                <w:rFonts w:ascii="Times New Roman" w:hAnsi="Times New Roman" w:cs="Times New Roman"/>
                <w:kern w:val="0"/>
                <w:sz w:val="18"/>
                <w:szCs w:val="18"/>
              </w:rPr>
              <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3,000 -15,000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冷藏货船</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5,000 DWT</w:t>
            </w:r>
            <w:r>
              <w:rPr>
                <w:rFonts w:ascii="Times New Roman" w:hAnsi="Times New Roman" w:cs="Times New Roman"/>
                <w:kern w:val="0"/>
                <w:sz w:val="18"/>
                <w:szCs w:val="18"/>
              </w:rPr>
              <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3,000 -5,000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0-15</w:t>
            </w:r>
            <w:r>
              <w:rPr>
                <w:rFonts w:ascii="Times New Roman" w:hAnsi="Times New Roman"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兼用船</w:t>
            </w: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20,000 DWT及以上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4,000 -20,000 DWT</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0-20</w:t>
            </w:r>
            <w:r>
              <w:rPr>
                <w:rFonts w:ascii="Times New Roman" w:hAnsi="Times New Roman"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LNG运输船</w:t>
            </w: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10,000 DWT 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滚装货船( 车辆运输船)</w:t>
            </w: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 xml:space="preserve">10,000 DWT </w:t>
            </w:r>
            <w:r>
              <w:rPr>
                <w:rFonts w:ascii="Times New Roman" w:eastAsia="宋体" w:cs="Times New Roman"/>
                <w:color w:val="auto"/>
                <w:sz w:val="18"/>
                <w:szCs w:val="18"/>
              </w:rPr>
              <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滚装货船</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2,000 DWT</w:t>
            </w:r>
            <w:r>
              <w:rPr>
                <w:rFonts w:ascii="Times New Roman" w:hAnsi="Times New Roman" w:cs="Times New Roman"/>
                <w:kern w:val="0"/>
                <w:sz w:val="18"/>
                <w:szCs w:val="18"/>
              </w:rPr>
              <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1,000 - 2,000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滚装客船</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1,000 DWT</w:t>
            </w:r>
            <w:r>
              <w:rPr>
                <w:rFonts w:ascii="Times New Roman" w:hAnsi="Times New Roman" w:cs="Times New Roman"/>
                <w:kern w:val="0"/>
                <w:sz w:val="18"/>
                <w:szCs w:val="18"/>
              </w:rPr>
              <w:t>及以上</w:t>
            </w:r>
          </w:p>
        </w:tc>
        <w:tc>
          <w:tcPr>
            <w:tcW w:w="2851"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250 -1,000 DWT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具有非常规推进的豪华邮轮</w:t>
            </w:r>
          </w:p>
        </w:tc>
        <w:tc>
          <w:tcPr>
            <w:tcW w:w="29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85,000 GT</w:t>
            </w:r>
            <w:r>
              <w:rPr>
                <w:rFonts w:ascii="Times New Roman" w:hAnsi="Times New Roman" w:cs="Times New Roman"/>
                <w:kern w:val="0"/>
                <w:sz w:val="18"/>
                <w:szCs w:val="18"/>
              </w:rPr>
              <w:t>及以上</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shd w:val="clear" w:color="auto" w:fill="auto"/>
            <w:vAlign w:val="center"/>
          </w:tcPr>
          <w:p>
            <w:pPr>
              <w:jc w:val="center"/>
              <w:rPr>
                <w:rFonts w:ascii="Times New Roman" w:hAnsi="Times New Roman" w:cs="Times New Roman"/>
                <w:kern w:val="0"/>
                <w:sz w:val="18"/>
                <w:szCs w:val="18"/>
              </w:rPr>
            </w:pPr>
          </w:p>
        </w:tc>
        <w:tc>
          <w:tcPr>
            <w:tcW w:w="2902"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25,000-85,000 GT</w:t>
            </w:r>
          </w:p>
        </w:tc>
        <w:tc>
          <w:tcPr>
            <w:tcW w:w="2851" w:type="dxa"/>
            <w:shd w:val="clear" w:color="auto" w:fill="auto"/>
            <w:vAlign w:val="center"/>
          </w:tcPr>
          <w:p>
            <w:pPr>
              <w:pStyle w:val="50"/>
              <w:jc w:val="center"/>
              <w:rPr>
                <w:rFonts w:ascii="Times New Roman" w:cs="Times New Roman"/>
                <w:color w:val="auto"/>
                <w:sz w:val="18"/>
                <w:szCs w:val="18"/>
              </w:rPr>
            </w:pPr>
            <w:r>
              <w:rPr>
                <w:rFonts w:ascii="Times New Roman" w:cs="Times New Roman"/>
                <w:color w:val="auto"/>
                <w:sz w:val="18"/>
                <w:szCs w:val="18"/>
              </w:rPr>
              <w:t>0-30*</w:t>
            </w:r>
          </w:p>
        </w:tc>
      </w:tr>
    </w:tbl>
    <w:p>
      <w:pPr>
        <w:autoSpaceDE w:val="0"/>
        <w:autoSpaceDN w:val="0"/>
        <w:adjustRightInd w:val="0"/>
        <w:jc w:val="left"/>
        <w:rPr>
          <w:kern w:val="0"/>
          <w:sz w:val="18"/>
          <w:szCs w:val="18"/>
        </w:rPr>
      </w:pPr>
      <w:r>
        <w:rPr>
          <w:kern w:val="0"/>
          <w:sz w:val="18"/>
          <w:szCs w:val="18"/>
        </w:rPr>
        <w:t>* 折减系数根据船舶尺度在两值间线性插值，小的船舶尺度对应小的折减系数。</w:t>
      </w:r>
    </w:p>
    <w:p>
      <w:pPr>
        <w:pStyle w:val="10"/>
        <w:ind w:firstLine="420"/>
        <w:rPr>
          <w:rFonts w:ascii="Times New Roman" w:hAnsi="Times New Roman" w:cs="Times New Roman"/>
          <w:lang w:bidi="ar"/>
        </w:rPr>
      </w:pPr>
      <w:r>
        <w:rPr>
          <w:rFonts w:ascii="Times New Roman" w:hAnsi="Times New Roman" w:cs="Times New Roman"/>
          <w:lang w:bidi="ar"/>
        </w:rPr>
        <w:t>2 应按本章第24.3和24.4条计算EEDI基线值。对于滚装货船和滚装客船，应参见本章第24.3条规定的用于phase 2及以后的基线值。</w:t>
      </w:r>
    </w:p>
    <w:p>
      <w:pPr>
        <w:pStyle w:val="10"/>
        <w:ind w:firstLine="420"/>
        <w:rPr>
          <w:rFonts w:ascii="Times New Roman" w:hAnsi="Times New Roman"/>
          <w:color w:val="FF0000"/>
          <w:u w:val="single"/>
          <w:lang w:bidi="ar"/>
        </w:rPr>
      </w:pPr>
      <w:r>
        <w:rPr>
          <w:rFonts w:ascii="Times New Roman" w:hAnsi="Times New Roman" w:cs="Times New Roman"/>
          <w:lang w:bidi="ar"/>
        </w:rPr>
        <w:t>3 国际海事组织应于2026年1月1日以前结合已制定的各指南完成对本条有效性的审查。如果基于该审查，缔约国决定通过对本条的修正案，该修正案应按《1973年国际防止船舶造成污染公约》第16条的</w:t>
      </w:r>
      <w:r>
        <w:rPr>
          <w:rFonts w:ascii="Times New Roman" w:hAnsi="Times New Roman"/>
          <w:lang w:bidi="ar"/>
        </w:rPr>
        <w:t>规定通过并生效。</w:t>
      </w:r>
      <w:r>
        <w:rPr>
          <w:rFonts w:hint="eastAsia" w:ascii="Times New Roman" w:hAnsi="Times New Roman"/>
          <w:lang w:bidi="ar"/>
        </w:rPr>
        <w:t>”</w:t>
      </w:r>
    </w:p>
    <w:p>
      <w:pPr>
        <w:adjustRightInd w:val="0"/>
        <w:snapToGrid w:val="0"/>
        <w:ind w:firstLine="440" w:firstLineChars="200"/>
        <w:rPr>
          <w:rFonts w:eastAsia="楷体"/>
          <w:sz w:val="22"/>
          <w:szCs w:val="22"/>
        </w:rPr>
      </w:pPr>
    </w:p>
    <w:p>
      <w:pPr>
        <w:pStyle w:val="10"/>
        <w:ind w:firstLine="420"/>
        <w:rPr>
          <w:rFonts w:ascii="Times New Roman" w:hAnsi="Times New Roman"/>
          <w:lang w:bidi="ar"/>
        </w:rPr>
      </w:pPr>
    </w:p>
    <w:p>
      <w:pPr>
        <w:ind w:firstLine="397"/>
        <w:rPr>
          <w:rFonts w:ascii="楷体" w:hAnsi="楷体" w:eastAsia="楷体"/>
        </w:rPr>
      </w:pPr>
      <w:r>
        <w:rPr>
          <w:rFonts w:hint="eastAsia" w:ascii="楷体" w:hAnsi="楷体" w:eastAsia="楷体"/>
        </w:rPr>
        <w:t>新增第26条如下：</w:t>
      </w:r>
    </w:p>
    <w:p>
      <w:pPr>
        <w:pStyle w:val="10"/>
        <w:jc w:val="center"/>
        <w:outlineLvl w:val="3"/>
        <w:rPr>
          <w:rFonts w:ascii="Times New Roman" w:hAnsi="Times New Roman" w:eastAsia="黑体"/>
          <w:bCs/>
        </w:rPr>
      </w:pPr>
      <w:bookmarkStart w:id="96" w:name="_Toc20971"/>
      <w:r>
        <w:rPr>
          <w:rFonts w:hint="eastAsia" w:hAnsi="宋体" w:eastAsia="宋体" w:cs="宋体"/>
          <w:bCs/>
        </w:rPr>
        <w:t>“</w:t>
      </w:r>
      <w:r>
        <w:rPr>
          <w:rFonts w:hint="eastAsia" w:ascii="Times New Roman" w:hAnsi="Times New Roman" w:eastAsia="黑体"/>
          <w:bCs/>
          <w:color w:val="FF0000"/>
          <w:u w:val="single"/>
        </w:rPr>
        <w:t>第</w:t>
      </w:r>
      <w:r>
        <w:rPr>
          <w:rFonts w:ascii="Times New Roman" w:hAnsi="Times New Roman" w:eastAsia="黑体"/>
          <w:bCs/>
          <w:color w:val="FF0000"/>
          <w:u w:val="single"/>
        </w:rPr>
        <w:t>2</w:t>
      </w:r>
      <w:r>
        <w:rPr>
          <w:rFonts w:hint="eastAsia" w:ascii="Times New Roman" w:hAnsi="Times New Roman" w:eastAsia="黑体"/>
          <w:bCs/>
          <w:color w:val="FF0000"/>
          <w:u w:val="single"/>
        </w:rPr>
        <w:t xml:space="preserve">6条 </w:t>
      </w:r>
      <w:r>
        <w:rPr>
          <w:rFonts w:ascii="Times New Roman" w:hAnsi="Times New Roman" w:eastAsia="黑体"/>
          <w:bCs/>
          <w:color w:val="FF0000"/>
          <w:u w:val="single"/>
        </w:rPr>
        <w:t xml:space="preserve"> </w:t>
      </w:r>
      <w:r>
        <w:rPr>
          <w:rFonts w:hint="eastAsia" w:ascii="Times New Roman" w:hAnsi="Times New Roman" w:eastAsia="黑体"/>
          <w:bCs/>
          <w:color w:val="FF0000"/>
          <w:u w:val="single"/>
        </w:rPr>
        <w:t>船舶能效管理计划（</w:t>
      </w:r>
      <w:r>
        <w:rPr>
          <w:rFonts w:ascii="Times New Roman" w:hAnsi="Times New Roman" w:eastAsia="黑体"/>
          <w:bCs/>
          <w:color w:val="FF0000"/>
          <w:u w:val="single"/>
        </w:rPr>
        <w:t>SEEMP</w:t>
      </w:r>
      <w:r>
        <w:rPr>
          <w:rFonts w:hint="eastAsia" w:ascii="Times New Roman" w:hAnsi="Times New Roman" w:eastAsia="黑体"/>
          <w:bCs/>
          <w:color w:val="FF0000"/>
          <w:u w:val="single"/>
        </w:rPr>
        <w:t>）</w:t>
      </w:r>
      <w:bookmarkEnd w:id="96"/>
    </w:p>
    <w:p>
      <w:pPr>
        <w:pStyle w:val="10"/>
        <w:rPr>
          <w:rFonts w:ascii="Times New Roman" w:hAnsi="Times New Roman"/>
          <w:strike/>
          <w:color w:val="FF0000"/>
          <w:u w:val="single"/>
          <w:lang w:bidi="ar"/>
        </w:rPr>
      </w:pPr>
    </w:p>
    <w:p>
      <w:pPr>
        <w:pStyle w:val="10"/>
        <w:ind w:firstLine="420"/>
        <w:rPr>
          <w:rFonts w:ascii="Times New Roman" w:hAnsi="Times New Roman"/>
          <w:lang w:bidi="ar"/>
        </w:rPr>
      </w:pPr>
      <w:r>
        <w:rPr>
          <w:rFonts w:ascii="Times New Roman" w:hAnsi="Times New Roman"/>
          <w:lang w:bidi="ar"/>
        </w:rPr>
        <w:t xml:space="preserve">1 </w:t>
      </w:r>
      <w:r>
        <w:rPr>
          <w:rFonts w:hint="eastAsia" w:ascii="Times New Roman" w:hAnsi="Times New Roman"/>
          <w:lang w:bidi="ar"/>
        </w:rPr>
        <w:t xml:space="preserve"> </w:t>
      </w:r>
      <w:r>
        <w:rPr>
          <w:rFonts w:ascii="Times New Roman" w:hAnsi="Times New Roman"/>
          <w:lang w:bidi="ar"/>
        </w:rPr>
        <w:t>每艘船舶应在船上保存一份</w:t>
      </w:r>
      <w:r>
        <w:rPr>
          <w:rFonts w:hint="eastAsia" w:ascii="Times New Roman" w:hAnsi="Times New Roman"/>
          <w:lang w:bidi="ar"/>
        </w:rPr>
        <w:t>针对船舶特定</w:t>
      </w:r>
      <w:r>
        <w:rPr>
          <w:rFonts w:ascii="Times New Roman" w:hAnsi="Times New Roman"/>
          <w:lang w:bidi="ar"/>
        </w:rPr>
        <w:t>的船舶能效管理计划（SEEMP）。该计划可为船舶安全管理体系（SMS）的一部分。</w:t>
      </w:r>
      <w:r>
        <w:rPr>
          <w:rFonts w:hint="eastAsia" w:ascii="Times New Roman" w:hAnsi="Times New Roman"/>
          <w:lang w:bidi="ar"/>
        </w:rPr>
        <w:t>SEEMP应结合国际海事组织通过的指南</w:t>
      </w:r>
      <w:r>
        <w:rPr>
          <w:rFonts w:ascii="Times New Roman" w:hAnsi="Times New Roman"/>
          <w:vertAlign w:val="superscript"/>
          <w:lang w:bidi="ar"/>
        </w:rPr>
        <w:footnoteReference w:id="35"/>
      </w:r>
      <w:r>
        <w:rPr>
          <w:rFonts w:hint="eastAsia" w:ascii="Times New Roman" w:hAnsi="Times New Roman"/>
          <w:lang w:bidi="ar"/>
        </w:rPr>
        <w:t>制定和评审。</w:t>
      </w:r>
    </w:p>
    <w:p>
      <w:pPr>
        <w:pStyle w:val="10"/>
        <w:ind w:firstLine="420"/>
        <w:rPr>
          <w:rFonts w:ascii="Times New Roman" w:hAnsi="Times New Roman"/>
          <w:lang w:bidi="ar"/>
        </w:rPr>
      </w:pPr>
      <w:r>
        <w:rPr>
          <w:rFonts w:hint="eastAsia" w:ascii="Times New Roman" w:hAnsi="Times New Roman"/>
          <w:lang w:bidi="ar"/>
        </w:rPr>
        <w:t>2 对于</w:t>
      </w:r>
      <w:r>
        <w:rPr>
          <w:rFonts w:ascii="Times New Roman" w:hAnsi="Times New Roman"/>
          <w:lang w:bidi="ar"/>
        </w:rPr>
        <w:t>5000</w:t>
      </w:r>
      <w:r>
        <w:rPr>
          <w:rFonts w:hint="eastAsia" w:ascii="Times New Roman" w:hAnsi="Times New Roman"/>
          <w:lang w:bidi="ar"/>
        </w:rPr>
        <w:t>总</w:t>
      </w:r>
      <w:r>
        <w:rPr>
          <w:rFonts w:ascii="Times New Roman" w:hAnsi="Times New Roman"/>
          <w:lang w:bidi="ar"/>
        </w:rPr>
        <w:t>吨及以上的船舶，SEEMP应包括</w:t>
      </w:r>
      <w:r>
        <w:rPr>
          <w:rFonts w:hint="eastAsia" w:ascii="Times New Roman" w:hAnsi="Times New Roman"/>
          <w:lang w:bidi="ar"/>
        </w:rPr>
        <w:t>对</w:t>
      </w:r>
      <w:r>
        <w:rPr>
          <w:rFonts w:ascii="Times New Roman" w:hAnsi="Times New Roman"/>
          <w:lang w:bidi="ar"/>
        </w:rPr>
        <w:t>用于收集本</w:t>
      </w:r>
      <w:r>
        <w:rPr>
          <w:rFonts w:hint="eastAsia" w:ascii="Times New Roman" w:hAnsi="Times New Roman"/>
          <w:lang w:bidi="ar"/>
        </w:rPr>
        <w:t>章</w:t>
      </w:r>
      <w:r>
        <w:rPr>
          <w:rFonts w:ascii="Times New Roman" w:hAnsi="Times New Roman"/>
          <w:lang w:bidi="ar"/>
        </w:rPr>
        <w:t>第27.1条规定的数据的方法</w:t>
      </w:r>
      <w:r>
        <w:rPr>
          <w:rFonts w:hint="eastAsia" w:ascii="Times New Roman" w:hAnsi="Times New Roman"/>
          <w:lang w:bidi="ar"/>
        </w:rPr>
        <w:t>和</w:t>
      </w:r>
      <w:r>
        <w:rPr>
          <w:rFonts w:ascii="Times New Roman" w:hAnsi="Times New Roman"/>
          <w:lang w:bidi="ar"/>
        </w:rPr>
        <w:t>用于向</w:t>
      </w:r>
      <w:r>
        <w:rPr>
          <w:rFonts w:hint="eastAsia" w:ascii="Times New Roman" w:hAnsi="Times New Roman"/>
          <w:lang w:bidi="ar"/>
        </w:rPr>
        <w:t>船舶主管机关</w:t>
      </w:r>
      <w:r>
        <w:rPr>
          <w:rFonts w:ascii="Times New Roman" w:hAnsi="Times New Roman"/>
          <w:lang w:bidi="ar"/>
        </w:rPr>
        <w:t>报告</w:t>
      </w:r>
      <w:r>
        <w:rPr>
          <w:rFonts w:hint="eastAsia" w:ascii="Times New Roman" w:hAnsi="Times New Roman"/>
          <w:lang w:bidi="ar"/>
        </w:rPr>
        <w:t>这些</w:t>
      </w:r>
      <w:r>
        <w:rPr>
          <w:rFonts w:ascii="Times New Roman" w:hAnsi="Times New Roman"/>
          <w:lang w:bidi="ar"/>
        </w:rPr>
        <w:t>数据的过程</w:t>
      </w:r>
      <w:r>
        <w:rPr>
          <w:rFonts w:hint="eastAsia" w:ascii="Times New Roman" w:hAnsi="Times New Roman"/>
          <w:lang w:bidi="ar"/>
        </w:rPr>
        <w:t>的描述。</w:t>
      </w:r>
    </w:p>
    <w:p>
      <w:pPr>
        <w:pStyle w:val="10"/>
        <w:ind w:firstLine="420"/>
        <w:rPr>
          <w:rFonts w:ascii="Times New Roman" w:hAnsi="Times New Roman"/>
          <w:lang w:bidi="ar"/>
        </w:rPr>
      </w:pPr>
      <w:r>
        <w:rPr>
          <w:rFonts w:hint="eastAsia" w:ascii="Times New Roman" w:hAnsi="Times New Roman"/>
          <w:lang w:bidi="ar"/>
        </w:rPr>
        <w:t>3 对于</w:t>
      </w:r>
      <w:r>
        <w:rPr>
          <w:rFonts w:ascii="Times New Roman" w:hAnsi="Times New Roman"/>
          <w:lang w:bidi="ar"/>
        </w:rPr>
        <w:t>5000</w:t>
      </w:r>
      <w:r>
        <w:rPr>
          <w:rFonts w:hint="eastAsia" w:ascii="Times New Roman" w:hAnsi="Times New Roman"/>
          <w:lang w:bidi="ar"/>
        </w:rPr>
        <w:t>总</w:t>
      </w:r>
      <w:r>
        <w:rPr>
          <w:rFonts w:ascii="Times New Roman" w:hAnsi="Times New Roman"/>
          <w:lang w:bidi="ar"/>
        </w:rPr>
        <w:t>吨及以上</w:t>
      </w:r>
      <w:r>
        <w:rPr>
          <w:rFonts w:hint="eastAsia" w:ascii="Times New Roman" w:hAnsi="Times New Roman"/>
          <w:lang w:bidi="ar"/>
        </w:rPr>
        <w:t>且属于</w:t>
      </w:r>
      <w:r>
        <w:rPr>
          <w:rFonts w:ascii="Times New Roman" w:hAnsi="Times New Roman"/>
          <w:lang w:bidi="ar"/>
        </w:rPr>
        <w:t>本</w:t>
      </w:r>
      <w:r>
        <w:rPr>
          <w:rFonts w:hint="eastAsia" w:ascii="Times New Roman" w:hAnsi="Times New Roman"/>
          <w:lang w:bidi="ar"/>
        </w:rPr>
        <w:t>章</w:t>
      </w:r>
      <w:r>
        <w:rPr>
          <w:rFonts w:ascii="Times New Roman" w:hAnsi="Times New Roman"/>
          <w:lang w:bidi="ar"/>
        </w:rPr>
        <w:t>第2.2.5、2.2.7、2.2.9、2.2.11、2.2.14至2.2.16、2.2.22和2.2.26至2.2.29条规定的一</w:t>
      </w:r>
      <w:r>
        <w:rPr>
          <w:rFonts w:hint="eastAsia" w:ascii="Times New Roman" w:hAnsi="Times New Roman"/>
          <w:lang w:bidi="ar"/>
        </w:rPr>
        <w:t>种</w:t>
      </w:r>
      <w:r>
        <w:rPr>
          <w:rFonts w:ascii="Times New Roman" w:hAnsi="Times New Roman"/>
          <w:lang w:bidi="ar"/>
        </w:rPr>
        <w:t>或多</w:t>
      </w:r>
      <w:r>
        <w:rPr>
          <w:rFonts w:hint="eastAsia" w:ascii="Times New Roman" w:hAnsi="Times New Roman"/>
          <w:lang w:bidi="ar"/>
        </w:rPr>
        <w:t>种类别的船舶：</w:t>
      </w:r>
    </w:p>
    <w:p>
      <w:pPr>
        <w:pStyle w:val="10"/>
        <w:ind w:left="1108" w:leftChars="330" w:hanging="415" w:hangingChars="198"/>
        <w:rPr>
          <w:rFonts w:ascii="Times New Roman" w:hAnsi="Times New Roman"/>
          <w:lang w:bidi="ar"/>
        </w:rPr>
      </w:pPr>
      <w:r>
        <w:rPr>
          <w:rFonts w:hint="eastAsia" w:ascii="Times New Roman" w:hAnsi="Times New Roman"/>
          <w:lang w:bidi="ar"/>
        </w:rPr>
        <w:t xml:space="preserve">.1 </w:t>
      </w:r>
      <w:r>
        <w:rPr>
          <w:rFonts w:ascii="Times New Roman" w:hAnsi="Times New Roman"/>
          <w:lang w:bidi="ar"/>
        </w:rPr>
        <w:t xml:space="preserve"> </w:t>
      </w:r>
      <w:r>
        <w:rPr>
          <w:rFonts w:hint="eastAsia" w:ascii="Times New Roman" w:hAnsi="Times New Roman"/>
          <w:lang w:bidi="ar"/>
        </w:rPr>
        <w:t>在2023年1月1日或以前，SEEMP应包括：</w:t>
      </w:r>
    </w:p>
    <w:p>
      <w:pPr>
        <w:pStyle w:val="10"/>
        <w:ind w:left="1528" w:leftChars="530" w:hanging="415" w:hangingChars="198"/>
        <w:rPr>
          <w:rFonts w:ascii="Times New Roman" w:hAnsi="Times New Roman"/>
          <w:lang w:bidi="ar"/>
        </w:rPr>
      </w:pPr>
      <w:r>
        <w:rPr>
          <w:rFonts w:hint="eastAsia" w:ascii="Times New Roman" w:hAnsi="Times New Roman"/>
          <w:lang w:bidi="ar"/>
        </w:rPr>
        <w:t xml:space="preserve">.1 </w:t>
      </w:r>
      <w:r>
        <w:rPr>
          <w:rFonts w:ascii="Times New Roman" w:hAnsi="Times New Roman"/>
          <w:lang w:bidi="ar"/>
        </w:rPr>
        <w:t xml:space="preserve"> </w:t>
      </w:r>
      <w:r>
        <w:rPr>
          <w:rFonts w:hint="eastAsia" w:ascii="Times New Roman" w:hAnsi="Times New Roman"/>
          <w:lang w:bidi="ar"/>
        </w:rPr>
        <w:t>对</w:t>
      </w:r>
      <w:r>
        <w:rPr>
          <w:rFonts w:ascii="Times New Roman" w:hAnsi="Times New Roman"/>
          <w:lang w:bidi="ar"/>
        </w:rPr>
        <w:t>用于计算本</w:t>
      </w:r>
      <w:r>
        <w:rPr>
          <w:rFonts w:hint="eastAsia" w:ascii="Times New Roman" w:hAnsi="Times New Roman"/>
          <w:lang w:bidi="ar"/>
        </w:rPr>
        <w:t>章</w:t>
      </w:r>
      <w:r>
        <w:rPr>
          <w:rFonts w:ascii="Times New Roman" w:hAnsi="Times New Roman"/>
          <w:lang w:bidi="ar"/>
        </w:rPr>
        <w:t>第28条要求</w:t>
      </w:r>
      <w:r>
        <w:rPr>
          <w:rFonts w:hint="eastAsia" w:ascii="Times New Roman" w:hAnsi="Times New Roman"/>
          <w:lang w:bidi="ar"/>
        </w:rPr>
        <w:t>的</w:t>
      </w:r>
      <w:r>
        <w:rPr>
          <w:rFonts w:ascii="Times New Roman" w:hAnsi="Times New Roman"/>
          <w:lang w:bidi="ar"/>
        </w:rPr>
        <w:t>船舶</w:t>
      </w:r>
      <w:r>
        <w:rPr>
          <w:rFonts w:hint="eastAsia" w:ascii="Times New Roman" w:hAnsi="Times New Roman"/>
          <w:lang w:bidi="ar"/>
        </w:rPr>
        <w:t>达到的</w:t>
      </w:r>
      <w:r>
        <w:rPr>
          <w:rFonts w:ascii="Times New Roman" w:hAnsi="Times New Roman"/>
          <w:lang w:bidi="ar"/>
        </w:rPr>
        <w:t>年度</w:t>
      </w:r>
      <w:r>
        <w:rPr>
          <w:rFonts w:hint="eastAsia" w:ascii="Times New Roman" w:hAnsi="Times New Roman"/>
          <w:lang w:bidi="ar"/>
        </w:rPr>
        <w:t>营运</w:t>
      </w:r>
      <w:r>
        <w:rPr>
          <w:rFonts w:ascii="Times New Roman" w:hAnsi="Times New Roman"/>
          <w:lang w:bidi="ar"/>
        </w:rPr>
        <w:t>CII的方法</w:t>
      </w:r>
      <w:r>
        <w:rPr>
          <w:rFonts w:hint="eastAsia" w:ascii="Times New Roman" w:hAnsi="Times New Roman"/>
          <w:lang w:bidi="ar"/>
        </w:rPr>
        <w:t>和</w:t>
      </w:r>
      <w:r>
        <w:rPr>
          <w:rFonts w:ascii="Times New Roman" w:hAnsi="Times New Roman"/>
          <w:lang w:bidi="ar"/>
        </w:rPr>
        <w:t>用于向船舶</w:t>
      </w:r>
      <w:r>
        <w:rPr>
          <w:rFonts w:hint="eastAsia" w:ascii="Times New Roman" w:hAnsi="Times New Roman"/>
          <w:lang w:bidi="ar"/>
        </w:rPr>
        <w:t>主管机关</w:t>
      </w:r>
      <w:r>
        <w:rPr>
          <w:rFonts w:ascii="Times New Roman" w:hAnsi="Times New Roman"/>
          <w:lang w:bidi="ar"/>
        </w:rPr>
        <w:t>报告该值的</w:t>
      </w:r>
      <w:r>
        <w:rPr>
          <w:rFonts w:hint="eastAsia" w:ascii="Times New Roman" w:hAnsi="Times New Roman"/>
          <w:lang w:bidi="ar"/>
        </w:rPr>
        <w:t>过程的描述；</w:t>
      </w:r>
    </w:p>
    <w:p>
      <w:pPr>
        <w:pStyle w:val="10"/>
        <w:ind w:left="1528" w:leftChars="530" w:hanging="415" w:hangingChars="198"/>
        <w:rPr>
          <w:rFonts w:ascii="Times New Roman" w:hAnsi="Times New Roman"/>
          <w:lang w:bidi="ar"/>
        </w:rPr>
      </w:pPr>
      <w:r>
        <w:rPr>
          <w:rFonts w:hint="eastAsia" w:ascii="Times New Roman" w:hAnsi="Times New Roman"/>
          <w:lang w:bidi="ar"/>
        </w:rPr>
        <w:t xml:space="preserve">.2 </w:t>
      </w:r>
      <w:r>
        <w:rPr>
          <w:rFonts w:ascii="Times New Roman" w:hAnsi="Times New Roman"/>
          <w:lang w:bidi="ar"/>
        </w:rPr>
        <w:t xml:space="preserve"> </w:t>
      </w:r>
      <w:r>
        <w:rPr>
          <w:rFonts w:hint="eastAsia" w:ascii="Times New Roman" w:hAnsi="Times New Roman"/>
          <w:lang w:bidi="ar"/>
        </w:rPr>
        <w:t>未来三年的要求的年度营运CII（按本章第28条规定）；</w:t>
      </w:r>
    </w:p>
    <w:p>
      <w:pPr>
        <w:pStyle w:val="10"/>
        <w:ind w:left="1528" w:leftChars="530" w:hanging="415" w:hangingChars="198"/>
        <w:rPr>
          <w:rFonts w:ascii="Times New Roman" w:hAnsi="Times New Roman"/>
          <w:lang w:bidi="ar"/>
        </w:rPr>
      </w:pPr>
      <w:r>
        <w:rPr>
          <w:rFonts w:hint="eastAsia" w:ascii="Times New Roman" w:hAnsi="Times New Roman"/>
          <w:lang w:bidi="ar"/>
        </w:rPr>
        <w:t xml:space="preserve">.3 </w:t>
      </w:r>
      <w:r>
        <w:rPr>
          <w:rFonts w:ascii="Times New Roman" w:hAnsi="Times New Roman"/>
          <w:lang w:bidi="ar"/>
        </w:rPr>
        <w:t xml:space="preserve"> </w:t>
      </w:r>
      <w:r>
        <w:rPr>
          <w:rFonts w:hint="eastAsia" w:ascii="Times New Roman" w:hAnsi="Times New Roman"/>
          <w:lang w:bidi="ar"/>
        </w:rPr>
        <w:t>记录如何在未来三年达到要求的年度营运CII的实施计划；和</w:t>
      </w:r>
    </w:p>
    <w:p>
      <w:pPr>
        <w:pStyle w:val="10"/>
        <w:ind w:left="1528" w:leftChars="530" w:hanging="415" w:hangingChars="198"/>
        <w:rPr>
          <w:rFonts w:ascii="Times New Roman" w:hAnsi="Times New Roman"/>
          <w:lang w:bidi="ar"/>
        </w:rPr>
      </w:pPr>
      <w:r>
        <w:rPr>
          <w:rFonts w:hint="eastAsia" w:ascii="Times New Roman" w:hAnsi="Times New Roman"/>
          <w:lang w:bidi="ar"/>
        </w:rPr>
        <w:t xml:space="preserve">.4 </w:t>
      </w:r>
      <w:r>
        <w:rPr>
          <w:rFonts w:ascii="Times New Roman" w:hAnsi="Times New Roman"/>
          <w:lang w:bidi="ar"/>
        </w:rPr>
        <w:t xml:space="preserve"> </w:t>
      </w:r>
      <w:r>
        <w:rPr>
          <w:rFonts w:hint="eastAsia" w:ascii="Times New Roman" w:hAnsi="Times New Roman"/>
          <w:lang w:bidi="ar"/>
        </w:rPr>
        <w:t>自我评估和改进程序。</w:t>
      </w:r>
    </w:p>
    <w:p>
      <w:pPr>
        <w:pStyle w:val="10"/>
        <w:ind w:left="1108" w:leftChars="330" w:hanging="415" w:hangingChars="198"/>
        <w:rPr>
          <w:rFonts w:ascii="Times New Roman" w:hAnsi="Times New Roman"/>
          <w:lang w:bidi="ar"/>
        </w:rPr>
      </w:pPr>
      <w:r>
        <w:rPr>
          <w:rFonts w:hint="eastAsia" w:ascii="Times New Roman" w:hAnsi="Times New Roman"/>
          <w:lang w:bidi="ar"/>
        </w:rPr>
        <w:t>.2  对按本章第28条</w:t>
      </w:r>
      <w:r>
        <w:rPr>
          <w:rFonts w:ascii="Times New Roman" w:hAnsi="Times New Roman"/>
          <w:lang w:bidi="ar"/>
        </w:rPr>
        <w:t>被评为E级</w:t>
      </w:r>
      <w:r>
        <w:rPr>
          <w:rFonts w:hint="eastAsia" w:ascii="Times New Roman" w:hAnsi="Times New Roman"/>
          <w:lang w:bidi="ar"/>
        </w:rPr>
        <w:t>或</w:t>
      </w:r>
      <w:r>
        <w:rPr>
          <w:rFonts w:ascii="Times New Roman" w:hAnsi="Times New Roman"/>
          <w:lang w:bidi="ar"/>
        </w:rPr>
        <w:t>连续三年被评为D级的船舶</w:t>
      </w:r>
      <w:r>
        <w:rPr>
          <w:rFonts w:hint="eastAsia" w:ascii="Times New Roman" w:hAnsi="Times New Roman"/>
          <w:lang w:bidi="ar"/>
        </w:rPr>
        <w:t>，</w:t>
      </w:r>
      <w:r>
        <w:rPr>
          <w:rFonts w:ascii="Times New Roman" w:hAnsi="Times New Roman"/>
          <w:lang w:bidi="ar"/>
        </w:rPr>
        <w:t>应</w:t>
      </w:r>
      <w:r>
        <w:rPr>
          <w:rFonts w:hint="eastAsia" w:ascii="Times New Roman" w:hAnsi="Times New Roman"/>
          <w:lang w:bidi="ar"/>
        </w:rPr>
        <w:t>按</w:t>
      </w:r>
      <w:r>
        <w:rPr>
          <w:rFonts w:ascii="Times New Roman" w:hAnsi="Times New Roman"/>
          <w:lang w:bidi="ar"/>
        </w:rPr>
        <w:t>本</w:t>
      </w:r>
      <w:r>
        <w:rPr>
          <w:rFonts w:hint="eastAsia" w:ascii="Times New Roman" w:hAnsi="Times New Roman"/>
          <w:lang w:bidi="ar"/>
        </w:rPr>
        <w:t>章</w:t>
      </w:r>
      <w:r>
        <w:rPr>
          <w:rFonts w:ascii="Times New Roman" w:hAnsi="Times New Roman"/>
          <w:lang w:bidi="ar"/>
        </w:rPr>
        <w:t>第28.8条对SEEMP进行</w:t>
      </w:r>
      <w:r>
        <w:rPr>
          <w:rFonts w:hint="eastAsia" w:ascii="Times New Roman" w:hAnsi="Times New Roman"/>
          <w:lang w:bidi="ar"/>
        </w:rPr>
        <w:t>审核</w:t>
      </w:r>
      <w:r>
        <w:rPr>
          <w:rFonts w:ascii="Times New Roman" w:hAnsi="Times New Roman"/>
          <w:lang w:bidi="ar"/>
        </w:rPr>
        <w:t>，以包括</w:t>
      </w:r>
      <w:r>
        <w:rPr>
          <w:rFonts w:hint="eastAsia" w:ascii="Times New Roman" w:hAnsi="Times New Roman"/>
          <w:lang w:bidi="ar"/>
        </w:rPr>
        <w:t>用以</w:t>
      </w:r>
      <w:r>
        <w:rPr>
          <w:rFonts w:ascii="Times New Roman" w:hAnsi="Times New Roman"/>
          <w:lang w:bidi="ar"/>
        </w:rPr>
        <w:t>达到</w:t>
      </w:r>
      <w:r>
        <w:rPr>
          <w:rFonts w:hint="eastAsia" w:ascii="Times New Roman" w:hAnsi="Times New Roman"/>
          <w:lang w:bidi="ar"/>
        </w:rPr>
        <w:t>要求</w:t>
      </w:r>
      <w:r>
        <w:rPr>
          <w:rFonts w:ascii="Times New Roman" w:hAnsi="Times New Roman"/>
          <w:lang w:bidi="ar"/>
        </w:rPr>
        <w:t>的</w:t>
      </w:r>
      <w:r>
        <w:rPr>
          <w:rFonts w:hint="eastAsia" w:ascii="Times New Roman" w:hAnsi="Times New Roman"/>
          <w:lang w:bidi="ar"/>
        </w:rPr>
        <w:t>年度营运CII的</w:t>
      </w:r>
      <w:r>
        <w:rPr>
          <w:rFonts w:ascii="Times New Roman" w:hAnsi="Times New Roman"/>
          <w:lang w:bidi="ar"/>
        </w:rPr>
        <w:t>纠正行动计划</w:t>
      </w:r>
      <w:r>
        <w:rPr>
          <w:rFonts w:hint="eastAsia" w:ascii="Times New Roman" w:hAnsi="Times New Roman"/>
          <w:lang w:bidi="ar"/>
        </w:rPr>
        <w:t>。</w:t>
      </w:r>
    </w:p>
    <w:p>
      <w:pPr>
        <w:pStyle w:val="10"/>
        <w:ind w:left="1108" w:leftChars="330" w:hanging="415" w:hangingChars="198"/>
        <w:rPr>
          <w:rFonts w:ascii="Times New Roman" w:hAnsi="Times New Roman"/>
          <w:color w:val="FF0000"/>
          <w:u w:val="single"/>
          <w:lang w:bidi="ar"/>
        </w:rPr>
      </w:pPr>
      <w:r>
        <w:rPr>
          <w:rFonts w:hint="eastAsia" w:ascii="Times New Roman" w:hAnsi="Times New Roman"/>
          <w:lang w:bidi="ar"/>
        </w:rPr>
        <w:t xml:space="preserve">.3 </w:t>
      </w:r>
      <w:r>
        <w:rPr>
          <w:rFonts w:ascii="Times New Roman" w:hAnsi="Times New Roman"/>
          <w:lang w:bidi="ar"/>
        </w:rPr>
        <w:t xml:space="preserve"> </w:t>
      </w:r>
      <w:r>
        <w:rPr>
          <w:rFonts w:hint="eastAsia" w:ascii="Times New Roman" w:hAnsi="Times New Roman"/>
          <w:lang w:bidi="ar"/>
        </w:rPr>
        <w:t>应结合国际海事</w:t>
      </w:r>
      <w:r>
        <w:rPr>
          <w:rFonts w:ascii="Times New Roman" w:hAnsi="Times New Roman"/>
          <w:lang w:bidi="ar"/>
        </w:rPr>
        <w:t>组织拟制定的</w:t>
      </w:r>
      <w:r>
        <w:rPr>
          <w:rFonts w:hint="eastAsia" w:ascii="Times New Roman" w:hAnsi="Times New Roman"/>
          <w:lang w:bidi="ar"/>
        </w:rPr>
        <w:t>指南对</w:t>
      </w:r>
      <w:r>
        <w:rPr>
          <w:rFonts w:ascii="Times New Roman" w:hAnsi="Times New Roman"/>
          <w:lang w:bidi="ar"/>
        </w:rPr>
        <w:t>SEEMP</w:t>
      </w:r>
      <w:r>
        <w:rPr>
          <w:rFonts w:hint="eastAsia" w:ascii="Times New Roman" w:hAnsi="Times New Roman"/>
          <w:lang w:bidi="ar"/>
        </w:rPr>
        <w:t>进行验证</w:t>
      </w:r>
      <w:r>
        <w:rPr>
          <w:rFonts w:ascii="Times New Roman" w:hAnsi="Times New Roman"/>
          <w:lang w:bidi="ar"/>
        </w:rPr>
        <w:t>和公司</w:t>
      </w:r>
      <w:r>
        <w:rPr>
          <w:rFonts w:hint="eastAsia" w:ascii="Times New Roman" w:hAnsi="Times New Roman"/>
          <w:lang w:bidi="ar"/>
        </w:rPr>
        <w:t>审核</w:t>
      </w:r>
      <w:r>
        <w:rPr>
          <w:rFonts w:ascii="Times New Roman" w:hAnsi="Times New Roman"/>
          <w:lang w:bidi="ar"/>
        </w:rPr>
        <w:t>。</w:t>
      </w:r>
      <w:r>
        <w:rPr>
          <w:rFonts w:hint="eastAsia" w:ascii="Times New Roman" w:hAnsi="Times New Roman"/>
          <w:lang w:bidi="ar"/>
        </w:rPr>
        <w:t>”</w:t>
      </w:r>
    </w:p>
    <w:p>
      <w:pPr>
        <w:adjustRightInd w:val="0"/>
        <w:snapToGrid w:val="0"/>
        <w:spacing w:line="360" w:lineRule="auto"/>
        <w:ind w:left="420" w:leftChars="200"/>
        <w:rPr>
          <w:rFonts w:ascii="楷体" w:hAnsi="楷体" w:eastAsia="楷体" w:cs="楷体"/>
          <w:snapToGrid w:val="0"/>
          <w:color w:val="0000FF"/>
          <w:kern w:val="0"/>
          <w:szCs w:val="21"/>
        </w:rPr>
      </w:pPr>
    </w:p>
    <w:p>
      <w:pPr>
        <w:ind w:firstLine="397"/>
        <w:rPr>
          <w:rFonts w:ascii="楷体" w:hAnsi="楷体" w:eastAsia="楷体"/>
        </w:rPr>
      </w:pPr>
      <w:r>
        <w:rPr>
          <w:rFonts w:hint="eastAsia" w:ascii="楷体" w:hAnsi="楷体" w:eastAsia="楷体"/>
        </w:rPr>
        <w:t>原第22A条改为：</w:t>
      </w:r>
    </w:p>
    <w:p>
      <w:pPr>
        <w:pStyle w:val="10"/>
        <w:jc w:val="center"/>
        <w:outlineLvl w:val="3"/>
        <w:rPr>
          <w:rFonts w:ascii="Times New Roman" w:hAnsi="Times New Roman" w:eastAsia="黑体"/>
          <w:bCs/>
        </w:rPr>
      </w:pPr>
      <w:bookmarkStart w:id="97" w:name="_Toc3197"/>
      <w:r>
        <w:rPr>
          <w:rFonts w:hint="eastAsia" w:ascii="Times New Roman" w:hAnsi="Times New Roman" w:eastAsia="黑体"/>
          <w:bCs/>
        </w:rPr>
        <w:t>“</w:t>
      </w:r>
      <w:r>
        <w:rPr>
          <w:rFonts w:hint="eastAsia" w:ascii="Times New Roman" w:hAnsi="Times New Roman" w:eastAsia="黑体"/>
          <w:bCs/>
          <w:strike/>
          <w:color w:val="FF0000"/>
        </w:rPr>
        <w:t>第</w:t>
      </w:r>
      <w:r>
        <w:rPr>
          <w:rFonts w:ascii="Times New Roman" w:hAnsi="Times New Roman" w:eastAsia="黑体"/>
          <w:bCs/>
          <w:strike/>
          <w:color w:val="FF0000"/>
        </w:rPr>
        <w:t>22</w:t>
      </w:r>
      <w:r>
        <w:rPr>
          <w:rFonts w:hint="eastAsia" w:ascii="Times New Roman" w:hAnsi="Times New Roman" w:eastAsia="黑体"/>
          <w:bCs/>
          <w:strike/>
          <w:color w:val="FF0000"/>
        </w:rPr>
        <w:t>A条</w:t>
      </w:r>
      <w:r>
        <w:rPr>
          <w:rFonts w:hint="eastAsia" w:ascii="Times New Roman" w:hAnsi="Times New Roman" w:eastAsia="黑体"/>
          <w:bCs/>
          <w:color w:val="FF0000"/>
          <w:u w:val="single"/>
        </w:rPr>
        <w:t>第</w:t>
      </w:r>
      <w:r>
        <w:rPr>
          <w:rFonts w:ascii="Times New Roman" w:hAnsi="Times New Roman" w:eastAsia="黑体"/>
          <w:bCs/>
          <w:color w:val="FF0000"/>
          <w:u w:val="single"/>
        </w:rPr>
        <w:t>2</w:t>
      </w:r>
      <w:r>
        <w:rPr>
          <w:rFonts w:hint="eastAsia" w:ascii="Times New Roman" w:hAnsi="Times New Roman" w:eastAsia="黑体"/>
          <w:bCs/>
          <w:color w:val="FF0000"/>
          <w:u w:val="single"/>
        </w:rPr>
        <w:t>7条</w:t>
      </w:r>
      <w:r>
        <w:rPr>
          <w:rFonts w:hint="eastAsia" w:ascii="Times New Roman" w:hAnsi="Times New Roman" w:eastAsia="黑体"/>
          <w:bCs/>
        </w:rPr>
        <w:t xml:space="preserve"> </w:t>
      </w:r>
      <w:r>
        <w:rPr>
          <w:rFonts w:ascii="Times New Roman" w:hAnsi="Times New Roman" w:eastAsia="黑体"/>
          <w:bCs/>
        </w:rPr>
        <w:t xml:space="preserve"> </w:t>
      </w:r>
      <w:r>
        <w:rPr>
          <w:rFonts w:hint="eastAsia" w:ascii="Times New Roman" w:hAnsi="Times New Roman" w:eastAsia="黑体"/>
          <w:bCs/>
        </w:rPr>
        <w:t>船舶燃油消耗数据的收集和报告</w:t>
      </w:r>
      <w:bookmarkEnd w:id="97"/>
    </w:p>
    <w:p>
      <w:pPr>
        <w:pStyle w:val="10"/>
        <w:ind w:firstLine="420"/>
        <w:rPr>
          <w:rFonts w:ascii="Times New Roman" w:hAnsi="Times New Roman"/>
          <w:lang w:bidi="ar"/>
        </w:rPr>
      </w:pP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1  从日历年2019年开始，每艘5000总吨及以上的船舶应</w:t>
      </w:r>
      <w:r>
        <w:rPr>
          <w:rFonts w:hint="eastAsia" w:ascii="Times New Roman" w:hAnsi="Times New Roman"/>
          <w:color w:val="FF0000"/>
          <w:u w:val="single"/>
          <w:lang w:bidi="ar"/>
        </w:rPr>
        <w:t>酌情</w:t>
      </w:r>
      <w:r>
        <w:rPr>
          <w:rFonts w:hint="eastAsia" w:ascii="Times New Roman" w:hAnsi="Times New Roman"/>
          <w:color w:val="000000" w:themeColor="text1"/>
          <w:lang w:bidi="ar"/>
          <w14:textFill>
            <w14:solidFill>
              <w14:schemeClr w14:val="tx1"/>
            </w14:solidFill>
          </w14:textFill>
        </w:rPr>
        <w:t>按SEEMP所述方法在该日历年和其后每一日历年或日历年中</w:t>
      </w:r>
      <w:r>
        <w:rPr>
          <w:rFonts w:hint="eastAsia" w:ascii="Times New Roman" w:hAnsi="Times New Roman"/>
          <w:strike/>
          <w:color w:val="FF0000"/>
          <w:lang w:bidi="ar"/>
        </w:rPr>
        <w:t>相应</w:t>
      </w:r>
      <w:r>
        <w:rPr>
          <w:rFonts w:hint="eastAsia" w:ascii="Times New Roman" w:hAnsi="Times New Roman"/>
          <w:color w:val="000000" w:themeColor="text1"/>
          <w:lang w:bidi="ar"/>
          <w14:textFill>
            <w14:solidFill>
              <w14:schemeClr w14:val="tx1"/>
            </w14:solidFill>
          </w14:textFill>
        </w:rPr>
        <w:t>的月份收集本附则附录IX规定的数据。</w:t>
      </w:r>
    </w:p>
    <w:p>
      <w:pPr>
        <w:pStyle w:val="10"/>
        <w:ind w:firstLine="420"/>
        <w:rPr>
          <w:rFonts w:ascii="Times New Roman" w:hAnsi="Times New Roman"/>
          <w:color w:val="000000" w:themeColor="text1"/>
          <w:lang w:bidi="ar"/>
          <w14:textFill>
            <w14:solidFill>
              <w14:schemeClr w14:val="tx1"/>
            </w14:solidFill>
          </w14:textFill>
        </w:rPr>
      </w:pPr>
      <w:r>
        <w:rPr>
          <w:rFonts w:ascii="Times New Roman" w:hAnsi="Times New Roman"/>
          <w:color w:val="000000" w:themeColor="text1"/>
          <w:lang w:bidi="ar"/>
          <w14:textFill>
            <w14:solidFill>
              <w14:schemeClr w14:val="tx1"/>
            </w14:solidFill>
          </w14:textFill>
        </w:rPr>
        <w:t xml:space="preserve">1bis  </w:t>
      </w:r>
      <w:r>
        <w:rPr>
          <w:rFonts w:hint="eastAsia" w:ascii="Times New Roman" w:hAnsi="Times New Roman"/>
          <w:color w:val="000000" w:themeColor="text1"/>
          <w:lang w:bidi="ar"/>
          <w14:textFill>
            <w14:solidFill>
              <w14:schemeClr w14:val="tx1"/>
            </w14:solidFill>
          </w14:textFill>
        </w:rPr>
        <w:t>对于400总吨及以上或者主推进动力装置750千瓦及以上船舶，除本条要求外，还应按照《中华人民共和国海事局</w:t>
      </w:r>
      <w:r>
        <w:rPr>
          <w:rFonts w:ascii="Times New Roman" w:hAnsi="Times New Roman"/>
          <w:color w:val="000000" w:themeColor="text1"/>
          <w:lang w:bidi="ar"/>
          <w14:textFill>
            <w14:solidFill>
              <w14:schemeClr w14:val="tx1"/>
            </w14:solidFill>
          </w14:textFill>
        </w:rPr>
        <w:t>关于</w:t>
      </w:r>
      <w:r>
        <w:rPr>
          <w:rFonts w:hint="eastAsia" w:ascii="Times New Roman" w:hAnsi="Times New Roman"/>
          <w:color w:val="000000" w:themeColor="text1"/>
          <w:lang w:bidi="ar"/>
          <w14:textFill>
            <w14:solidFill>
              <w14:schemeClr w14:val="tx1"/>
            </w14:solidFill>
          </w14:textFill>
        </w:rPr>
        <w:t>印发</w:t>
      </w:r>
      <w:r>
        <w:rPr>
          <w:rFonts w:ascii="Times New Roman" w:hAnsi="Times New Roman"/>
          <w:color w:val="000000" w:themeColor="text1"/>
          <w:lang w:bidi="ar"/>
          <w14:textFill>
            <w14:solidFill>
              <w14:schemeClr w14:val="tx1"/>
            </w14:solidFill>
          </w14:textFill>
        </w:rPr>
        <w:t>《船舶能耗数据收集管理办法》</w:t>
      </w:r>
      <w:r>
        <w:rPr>
          <w:rFonts w:hint="eastAsia" w:ascii="Times New Roman" w:hAnsi="Times New Roman"/>
          <w:color w:val="000000" w:themeColor="text1"/>
          <w:lang w:bidi="ar"/>
          <w14:textFill>
            <w14:solidFill>
              <w14:schemeClr w14:val="tx1"/>
            </w14:solidFill>
          </w14:textFill>
        </w:rPr>
        <w:t>的通知》（海危防〔</w:t>
      </w:r>
      <w:r>
        <w:rPr>
          <w:rFonts w:ascii="Times New Roman" w:hAnsi="Times New Roman"/>
          <w:color w:val="000000" w:themeColor="text1"/>
          <w:lang w:bidi="ar"/>
          <w14:textFill>
            <w14:solidFill>
              <w14:schemeClr w14:val="tx1"/>
            </w14:solidFill>
          </w14:textFill>
        </w:rPr>
        <w:t>2018</w:t>
      </w:r>
      <w:r>
        <w:rPr>
          <w:rFonts w:hint="eastAsia" w:ascii="Times New Roman" w:hAnsi="Times New Roman"/>
          <w:color w:val="000000" w:themeColor="text1"/>
          <w:lang w:bidi="ar"/>
          <w14:textFill>
            <w14:solidFill>
              <w14:schemeClr w14:val="tx1"/>
            </w14:solidFill>
          </w14:textFill>
        </w:rPr>
        <w:t>〕</w:t>
      </w:r>
      <w:r>
        <w:rPr>
          <w:rFonts w:ascii="Times New Roman" w:hAnsi="Times New Roman"/>
          <w:color w:val="000000" w:themeColor="text1"/>
          <w:lang w:bidi="ar"/>
          <w14:textFill>
            <w14:solidFill>
              <w14:schemeClr w14:val="tx1"/>
            </w14:solidFill>
          </w14:textFill>
        </w:rPr>
        <w:t>476号</w:t>
      </w:r>
      <w:r>
        <w:rPr>
          <w:rFonts w:hint="eastAsia" w:ascii="Times New Roman" w:hAnsi="Times New Roman"/>
          <w:color w:val="000000" w:themeColor="text1"/>
          <w:lang w:bidi="ar"/>
          <w14:textFill>
            <w14:solidFill>
              <w14:schemeClr w14:val="tx1"/>
            </w14:solidFill>
          </w14:textFill>
        </w:rPr>
        <w:t>）实施航次能耗数据报告相关要求。</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2  除本条4、5和6规定外，每艘船舶应</w:t>
      </w:r>
      <w:r>
        <w:rPr>
          <w:rFonts w:hint="eastAsia" w:ascii="Times New Roman" w:hAnsi="Times New Roman"/>
          <w:color w:val="FF0000"/>
          <w:u w:val="single"/>
          <w:lang w:bidi="ar"/>
        </w:rPr>
        <w:t>视情况</w:t>
      </w:r>
      <w:r>
        <w:rPr>
          <w:rFonts w:hint="eastAsia" w:ascii="Times New Roman" w:hAnsi="Times New Roman"/>
          <w:color w:val="000000" w:themeColor="text1"/>
          <w:lang w:bidi="ar"/>
          <w14:textFill>
            <w14:solidFill>
              <w14:schemeClr w14:val="tx1"/>
            </w14:solidFill>
          </w14:textFill>
        </w:rPr>
        <w:t>在每个日历年的年末对在该日历年或该日历年中</w:t>
      </w:r>
      <w:r>
        <w:rPr>
          <w:rFonts w:hint="eastAsia" w:ascii="Times New Roman" w:hAnsi="Times New Roman"/>
          <w:strike/>
          <w:color w:val="FF0000"/>
          <w:lang w:bidi="ar"/>
        </w:rPr>
        <w:t>相应的</w:t>
      </w:r>
      <w:r>
        <w:rPr>
          <w:rFonts w:hint="eastAsia" w:ascii="Times New Roman" w:hAnsi="Times New Roman"/>
          <w:color w:val="FF0000"/>
          <w:u w:val="single"/>
          <w:lang w:bidi="ar"/>
        </w:rPr>
        <w:t>各</w:t>
      </w:r>
      <w:r>
        <w:rPr>
          <w:rFonts w:hint="eastAsia" w:ascii="Times New Roman" w:hAnsi="Times New Roman"/>
          <w:color w:val="000000" w:themeColor="text1"/>
          <w:lang w:bidi="ar"/>
          <w14:textFill>
            <w14:solidFill>
              <w14:schemeClr w14:val="tx1"/>
            </w14:solidFill>
          </w14:textFill>
        </w:rPr>
        <w:t>月份收集的数据进行合计。</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3  除本条4、5和6规定外，在每个日历年的年末以后</w:t>
      </w:r>
      <w:r>
        <w:rPr>
          <w:rFonts w:hint="eastAsia" w:ascii="Times New Roman" w:hAnsi="Times New Roman"/>
          <w:color w:val="FF0000"/>
          <w:u w:val="single"/>
          <w:lang w:bidi="ar"/>
        </w:rPr>
        <w:t>的</w:t>
      </w:r>
      <w:r>
        <w:rPr>
          <w:rFonts w:hint="eastAsia" w:ascii="Times New Roman" w:hAnsi="Times New Roman"/>
          <w:color w:val="000000" w:themeColor="text1"/>
          <w:lang w:bidi="ar"/>
          <w14:textFill>
            <w14:solidFill>
              <w14:schemeClr w14:val="tx1"/>
            </w14:solidFill>
          </w14:textFill>
        </w:rPr>
        <w:t>3个月内，船舶应通过电子通信并使用</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拟制定的标准格式</w:t>
      </w:r>
      <w:r>
        <w:rPr>
          <w:rStyle w:val="33"/>
          <w:rFonts w:hint="eastAsia" w:ascii="Times New Roman" w:hAnsi="Times New Roman"/>
          <w:color w:val="000000" w:themeColor="text1"/>
          <w:lang w:bidi="ar"/>
          <w14:textFill>
            <w14:solidFill>
              <w14:schemeClr w14:val="tx1"/>
            </w14:solidFill>
          </w14:textFill>
        </w:rPr>
        <w:footnoteReference w:id="36"/>
      </w:r>
      <w:r>
        <w:rPr>
          <w:rFonts w:hint="eastAsia" w:ascii="Times New Roman" w:hAnsi="Times New Roman"/>
          <w:color w:val="000000" w:themeColor="text1"/>
          <w:lang w:bidi="ar"/>
          <w14:textFill>
            <w14:solidFill>
              <w14:schemeClr w14:val="tx1"/>
            </w14:solidFill>
          </w14:textFill>
        </w:rPr>
        <w:t>向主管机关或经其正式授权的任何组织</w:t>
      </w:r>
      <w:r>
        <w:rPr>
          <w:rStyle w:val="33"/>
          <w:rFonts w:hint="eastAsia" w:ascii="Times New Roman" w:hAnsi="Times New Roman"/>
          <w:color w:val="000000" w:themeColor="text1"/>
          <w:lang w:bidi="ar"/>
          <w14:textFill>
            <w14:solidFill>
              <w14:schemeClr w14:val="tx1"/>
            </w14:solidFill>
          </w14:textFill>
        </w:rPr>
        <w:footnoteReference w:id="37"/>
      </w:r>
      <w:r>
        <w:rPr>
          <w:rFonts w:hint="eastAsia" w:ascii="Times New Roman" w:hAnsi="Times New Roman"/>
          <w:color w:val="000000" w:themeColor="text1"/>
          <w:lang w:bidi="ar"/>
          <w14:textFill>
            <w14:solidFill>
              <w14:schemeClr w14:val="tx1"/>
            </w14:solidFill>
          </w14:textFill>
        </w:rPr>
        <w:t>报告本附则附录IX规定的</w:t>
      </w:r>
      <w:r>
        <w:rPr>
          <w:rFonts w:hint="eastAsia" w:ascii="Times New Roman" w:hAnsi="Times New Roman"/>
          <w:lang w:bidi="ar"/>
        </w:rPr>
        <w:t>每一</w:t>
      </w:r>
      <w:r>
        <w:rPr>
          <w:rFonts w:hint="eastAsia" w:ascii="Times New Roman" w:hAnsi="Times New Roman"/>
          <w:color w:val="000000" w:themeColor="text1"/>
          <w:lang w:bidi="ar"/>
          <w14:textFill>
            <w14:solidFill>
              <w14:schemeClr w14:val="tx1"/>
            </w14:solidFill>
          </w14:textFill>
        </w:rPr>
        <w:t>项数据的合计值。</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4  如船舶从一个主管机关转至另一个主管机关，船舶应在转完的当天或尽实际可能靠近的时间将本附则附录IX规定的该日历年中转出主管机关所对应的时间段的合计数据向转出的主管机关或经其正式授权的任何组织</w:t>
      </w:r>
      <w:r>
        <w:rPr>
          <w:rFonts w:hint="eastAsia" w:ascii="Times New Roman" w:hAnsi="Times New Roman"/>
          <w:color w:val="000000" w:themeColor="text1"/>
          <w:vertAlign w:val="superscript"/>
          <w:lang w:bidi="ar"/>
          <w14:textFill>
            <w14:solidFill>
              <w14:schemeClr w14:val="tx1"/>
            </w14:solidFill>
          </w14:textFill>
        </w:rPr>
        <w:sym w:font="Wingdings" w:char="F082"/>
      </w:r>
      <w:r>
        <w:rPr>
          <w:rFonts w:hint="eastAsia" w:ascii="Times New Roman" w:hAnsi="Times New Roman"/>
          <w:color w:val="000000" w:themeColor="text1"/>
          <w:lang w:bidi="ar"/>
          <w14:textFill>
            <w14:solidFill>
              <w14:schemeClr w14:val="tx1"/>
            </w14:solidFill>
          </w14:textFill>
        </w:rPr>
        <w:t>报告，并在</w:t>
      </w:r>
      <w:r>
        <w:rPr>
          <w:rFonts w:hint="eastAsia" w:ascii="Times New Roman" w:hAnsi="Times New Roman"/>
          <w:color w:val="FF0000"/>
          <w:u w:val="single"/>
          <w:lang w:bidi="ar"/>
        </w:rPr>
        <w:t>该</w:t>
      </w:r>
      <w:r>
        <w:rPr>
          <w:rFonts w:hint="eastAsia" w:ascii="Times New Roman" w:hAnsi="Times New Roman"/>
          <w:color w:val="000000" w:themeColor="text1"/>
          <w:lang w:bidi="ar"/>
          <w14:textFill>
            <w14:solidFill>
              <w14:schemeClr w14:val="tx1"/>
            </w14:solidFill>
          </w14:textFill>
        </w:rPr>
        <w:t>主管机关要求时，报告未合计数据。</w:t>
      </w:r>
    </w:p>
    <w:p>
      <w:pPr>
        <w:pStyle w:val="10"/>
        <w:ind w:firstLine="420"/>
        <w:rPr>
          <w:rFonts w:ascii="Times New Roman" w:hAnsi="Times New Roman"/>
          <w:color w:val="000000" w:themeColor="text1"/>
          <w:lang w:bidi="ar"/>
          <w14:textFill>
            <w14:solidFill>
              <w14:schemeClr w14:val="tx1"/>
            </w14:solidFill>
          </w14:textFill>
        </w:rPr>
      </w:pPr>
      <w:r>
        <w:rPr>
          <w:rFonts w:ascii="Times New Roman" w:hAnsi="Times New Roman"/>
          <w:color w:val="000000" w:themeColor="text1"/>
          <w:lang w:bidi="ar"/>
          <w14:textFill>
            <w14:solidFill>
              <w14:schemeClr w14:val="tx1"/>
            </w14:solidFill>
          </w14:textFill>
        </w:rPr>
        <w:t xml:space="preserve">4bis  </w:t>
      </w:r>
      <w:r>
        <w:rPr>
          <w:rFonts w:hint="eastAsia" w:ascii="Times New Roman" w:hAnsi="Times New Roman"/>
          <w:color w:val="000000" w:themeColor="text1"/>
          <w:lang w:bidi="ar"/>
          <w14:textFill>
            <w14:solidFill>
              <w14:schemeClr w14:val="tx1"/>
            </w14:solidFill>
          </w14:textFill>
        </w:rPr>
        <w:t>在实施上述</w:t>
      </w:r>
      <w:r>
        <w:rPr>
          <w:rFonts w:ascii="Times New Roman" w:hAnsi="Times New Roman"/>
          <w:color w:val="000000" w:themeColor="text1"/>
          <w:lang w:bidi="ar"/>
          <w14:textFill>
            <w14:solidFill>
              <w14:schemeClr w14:val="tx1"/>
            </w14:solidFill>
          </w14:textFill>
        </w:rPr>
        <w:t>4</w:t>
      </w:r>
      <w:r>
        <w:rPr>
          <w:rFonts w:hint="eastAsia" w:ascii="Times New Roman" w:hAnsi="Times New Roman"/>
          <w:color w:val="000000" w:themeColor="text1"/>
          <w:lang w:bidi="ar"/>
          <w14:textFill>
            <w14:solidFill>
              <w14:schemeClr w14:val="tx1"/>
            </w14:solidFill>
          </w14:textFill>
        </w:rPr>
        <w:t>的要求时，当船舶由中国籍转换为外国籍时，应当在国籍转换之日起</w:t>
      </w:r>
      <w:r>
        <w:rPr>
          <w:rFonts w:ascii="Times New Roman" w:hAnsi="Times New Roman"/>
          <w:color w:val="000000" w:themeColor="text1"/>
          <w:lang w:bidi="ar"/>
          <w14:textFill>
            <w14:solidFill>
              <w14:schemeClr w14:val="tx1"/>
            </w14:solidFill>
          </w14:textFill>
        </w:rPr>
        <w:t>3</w:t>
      </w:r>
      <w:r>
        <w:rPr>
          <w:rFonts w:hint="eastAsia" w:ascii="Times New Roman" w:hAnsi="Times New Roman"/>
          <w:color w:val="000000" w:themeColor="text1"/>
          <w:lang w:bidi="ar"/>
          <w14:textFill>
            <w14:solidFill>
              <w14:schemeClr w14:val="tx1"/>
            </w14:solidFill>
          </w14:textFill>
        </w:rPr>
        <w:t>个月内，报告国籍转换日之前的船舶能耗数据；当船舶由外国籍转换为中国籍时，应当在次年</w:t>
      </w:r>
      <w:r>
        <w:rPr>
          <w:rFonts w:ascii="Times New Roman" w:hAnsi="Times New Roman"/>
          <w:color w:val="000000" w:themeColor="text1"/>
          <w:lang w:bidi="ar"/>
          <w14:textFill>
            <w14:solidFill>
              <w14:schemeClr w14:val="tx1"/>
            </w14:solidFill>
          </w14:textFill>
        </w:rPr>
        <w:t>4</w:t>
      </w:r>
      <w:r>
        <w:rPr>
          <w:rFonts w:hint="eastAsia" w:ascii="Times New Roman" w:hAnsi="Times New Roman"/>
          <w:color w:val="000000" w:themeColor="text1"/>
          <w:lang w:bidi="ar"/>
          <w14:textFill>
            <w14:solidFill>
              <w14:schemeClr w14:val="tx1"/>
            </w14:solidFill>
          </w14:textFill>
        </w:rPr>
        <w:t>月</w:t>
      </w:r>
      <w:r>
        <w:rPr>
          <w:rFonts w:ascii="Times New Roman" w:hAnsi="Times New Roman"/>
          <w:color w:val="000000" w:themeColor="text1"/>
          <w:lang w:bidi="ar"/>
          <w14:textFill>
            <w14:solidFill>
              <w14:schemeClr w14:val="tx1"/>
            </w14:solidFill>
          </w14:textFill>
        </w:rPr>
        <w:t>1</w:t>
      </w:r>
      <w:r>
        <w:rPr>
          <w:rFonts w:hint="eastAsia" w:ascii="Times New Roman" w:hAnsi="Times New Roman"/>
          <w:color w:val="000000" w:themeColor="text1"/>
          <w:lang w:bidi="ar"/>
          <w14:textFill>
            <w14:solidFill>
              <w14:schemeClr w14:val="tx1"/>
            </w14:solidFill>
          </w14:textFill>
        </w:rPr>
        <w:t>日前报告自国籍转换之日起收集的船舶能耗数据。</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5  如船舶从一个公司转至另一个公司，船舶应在转完的当天或尽实际可能靠近的时间将本附则附录IX规定的该日历年中转出</w:t>
      </w:r>
      <w:r>
        <w:rPr>
          <w:rFonts w:hint="eastAsia" w:ascii="Times New Roman" w:hAnsi="Times New Roman"/>
          <w:strike/>
          <w:color w:val="FF0000"/>
          <w:lang w:bidi="ar"/>
        </w:rPr>
        <w:t>主管机关所</w:t>
      </w:r>
      <w:r>
        <w:rPr>
          <w:rFonts w:hint="eastAsia" w:ascii="Times New Roman" w:hAnsi="Times New Roman"/>
          <w:color w:val="FF0000"/>
          <w:u w:val="single"/>
          <w:lang w:bidi="ar"/>
        </w:rPr>
        <w:t>公司</w:t>
      </w:r>
      <w:r>
        <w:rPr>
          <w:rFonts w:hint="eastAsia" w:ascii="Times New Roman" w:hAnsi="Times New Roman"/>
          <w:color w:val="000000" w:themeColor="text1"/>
          <w:lang w:bidi="ar"/>
          <w14:textFill>
            <w14:solidFill>
              <w14:schemeClr w14:val="tx1"/>
            </w14:solidFill>
          </w14:textFill>
        </w:rPr>
        <w:t>对应的时间段的合计数据报告其主管机关或经其正式授权的任何组织</w:t>
      </w:r>
      <w:r>
        <w:rPr>
          <w:rStyle w:val="33"/>
          <w:rFonts w:hint="eastAsia" w:ascii="Times New Roman" w:hAnsi="Times New Roman"/>
          <w:color w:val="000000" w:themeColor="text1"/>
          <w:lang w:bidi="ar"/>
          <w14:textFill>
            <w14:solidFill>
              <w14:schemeClr w14:val="tx1"/>
            </w14:solidFill>
          </w14:textFill>
        </w:rPr>
        <w:footnoteReference w:id="38"/>
      </w:r>
      <w:r>
        <w:rPr>
          <w:rFonts w:hint="eastAsia" w:ascii="Times New Roman" w:hAnsi="Times New Roman"/>
          <w:color w:val="000000" w:themeColor="text1"/>
          <w:lang w:bidi="ar"/>
          <w14:textFill>
            <w14:solidFill>
              <w14:schemeClr w14:val="tx1"/>
            </w14:solidFill>
          </w14:textFill>
        </w:rPr>
        <w:t>，并在</w:t>
      </w:r>
      <w:r>
        <w:rPr>
          <w:rFonts w:hint="eastAsia" w:ascii="Times New Roman" w:hAnsi="Times New Roman"/>
          <w:color w:val="FF0000"/>
          <w:u w:val="single"/>
          <w:lang w:bidi="ar"/>
        </w:rPr>
        <w:t>其</w:t>
      </w:r>
      <w:r>
        <w:rPr>
          <w:rFonts w:hint="eastAsia" w:ascii="Times New Roman" w:hAnsi="Times New Roman"/>
          <w:color w:val="000000" w:themeColor="text1"/>
          <w:lang w:bidi="ar"/>
          <w14:textFill>
            <w14:solidFill>
              <w14:schemeClr w14:val="tx1"/>
            </w14:solidFill>
          </w14:textFill>
        </w:rPr>
        <w:t>主管机关要求时，报告未合计数据。</w:t>
      </w:r>
    </w:p>
    <w:p>
      <w:pPr>
        <w:pStyle w:val="10"/>
        <w:ind w:firstLine="420"/>
        <w:rPr>
          <w:rFonts w:ascii="Times New Roman" w:hAnsi="Times New Roman"/>
          <w:color w:val="000000" w:themeColor="text1"/>
          <w:lang w:bidi="ar"/>
          <w14:textFill>
            <w14:solidFill>
              <w14:schemeClr w14:val="tx1"/>
            </w14:solidFill>
          </w14:textFill>
        </w:rPr>
      </w:pPr>
      <w:r>
        <w:rPr>
          <w:rFonts w:ascii="Times New Roman" w:hAnsi="Times New Roman"/>
          <w:color w:val="000000" w:themeColor="text1"/>
          <w:lang w:bidi="ar"/>
          <w14:textFill>
            <w14:solidFill>
              <w14:schemeClr w14:val="tx1"/>
            </w14:solidFill>
          </w14:textFill>
        </w:rPr>
        <w:t xml:space="preserve">5bis  </w:t>
      </w:r>
      <w:r>
        <w:rPr>
          <w:rFonts w:hint="eastAsia" w:ascii="Times New Roman" w:hAnsi="Times New Roman"/>
          <w:color w:val="000000" w:themeColor="text1"/>
          <w:lang w:bidi="ar"/>
          <w14:textFill>
            <w14:solidFill>
              <w14:schemeClr w14:val="tx1"/>
            </w14:solidFill>
          </w14:textFill>
        </w:rPr>
        <w:t>在实施上述</w:t>
      </w:r>
      <w:r>
        <w:rPr>
          <w:rFonts w:ascii="Times New Roman" w:hAnsi="Times New Roman"/>
          <w:color w:val="000000" w:themeColor="text1"/>
          <w:lang w:bidi="ar"/>
          <w14:textFill>
            <w14:solidFill>
              <w14:schemeClr w14:val="tx1"/>
            </w14:solidFill>
          </w14:textFill>
        </w:rPr>
        <w:t>5</w:t>
      </w:r>
      <w:r>
        <w:rPr>
          <w:rFonts w:hint="eastAsia" w:ascii="Times New Roman" w:hAnsi="Times New Roman"/>
          <w:color w:val="000000" w:themeColor="text1"/>
          <w:lang w:bidi="ar"/>
          <w14:textFill>
            <w14:solidFill>
              <w14:schemeClr w14:val="tx1"/>
            </w14:solidFill>
          </w14:textFill>
        </w:rPr>
        <w:t>的要求时，当船舶在报告期内转换船舶所有人或船舶经营人的，应当在转换之日起</w:t>
      </w:r>
      <w:r>
        <w:rPr>
          <w:rFonts w:ascii="Times New Roman" w:hAnsi="Times New Roman"/>
          <w:color w:val="000000" w:themeColor="text1"/>
          <w:lang w:bidi="ar"/>
          <w14:textFill>
            <w14:solidFill>
              <w14:schemeClr w14:val="tx1"/>
            </w14:solidFill>
          </w14:textFill>
        </w:rPr>
        <w:t>3</w:t>
      </w:r>
      <w:r>
        <w:rPr>
          <w:rFonts w:hint="eastAsia" w:ascii="Times New Roman" w:hAnsi="Times New Roman"/>
          <w:color w:val="000000" w:themeColor="text1"/>
          <w:lang w:bidi="ar"/>
          <w14:textFill>
            <w14:solidFill>
              <w14:schemeClr w14:val="tx1"/>
            </w14:solidFill>
          </w14:textFill>
        </w:rPr>
        <w:t>个月内，报告转换前的船舶能耗数据，并于次年</w:t>
      </w:r>
      <w:r>
        <w:rPr>
          <w:rFonts w:ascii="Times New Roman" w:hAnsi="Times New Roman"/>
          <w:color w:val="000000" w:themeColor="text1"/>
          <w:lang w:bidi="ar"/>
          <w14:textFill>
            <w14:solidFill>
              <w14:schemeClr w14:val="tx1"/>
            </w14:solidFill>
          </w14:textFill>
        </w:rPr>
        <w:t>4</w:t>
      </w:r>
      <w:r>
        <w:rPr>
          <w:rFonts w:hint="eastAsia" w:ascii="Times New Roman" w:hAnsi="Times New Roman"/>
          <w:color w:val="000000" w:themeColor="text1"/>
          <w:lang w:bidi="ar"/>
          <w14:textFill>
            <w14:solidFill>
              <w14:schemeClr w14:val="tx1"/>
            </w14:solidFill>
          </w14:textFill>
        </w:rPr>
        <w:t>月</w:t>
      </w:r>
      <w:r>
        <w:rPr>
          <w:rFonts w:ascii="Times New Roman" w:hAnsi="Times New Roman"/>
          <w:color w:val="000000" w:themeColor="text1"/>
          <w:lang w:bidi="ar"/>
          <w14:textFill>
            <w14:solidFill>
              <w14:schemeClr w14:val="tx1"/>
            </w14:solidFill>
          </w14:textFill>
        </w:rPr>
        <w:t>1</w:t>
      </w:r>
      <w:r>
        <w:rPr>
          <w:rFonts w:hint="eastAsia" w:ascii="Times New Roman" w:hAnsi="Times New Roman"/>
          <w:color w:val="000000" w:themeColor="text1"/>
          <w:lang w:bidi="ar"/>
          <w14:textFill>
            <w14:solidFill>
              <w14:schemeClr w14:val="tx1"/>
            </w14:solidFill>
          </w14:textFill>
        </w:rPr>
        <w:t>日前报告转换之日后的船舶能耗数据。</w:t>
      </w:r>
    </w:p>
    <w:p>
      <w:pPr>
        <w:pStyle w:val="10"/>
        <w:ind w:firstLine="420"/>
        <w:rPr>
          <w:rFonts w:ascii="Times New Roman" w:hAnsi="Times New Roman"/>
          <w:color w:val="000000" w:themeColor="text1"/>
          <w:lang w:bidi="ar"/>
          <w14:textFill>
            <w14:solidFill>
              <w14:schemeClr w14:val="tx1"/>
            </w14:solidFill>
          </w14:textFill>
        </w:rPr>
      </w:pPr>
      <w:r>
        <w:rPr>
          <w:rFonts w:ascii="Times New Roman" w:hAnsi="Times New Roman"/>
          <w:color w:val="000000" w:themeColor="text1"/>
          <w:lang w:bidi="ar"/>
          <w14:textFill>
            <w14:solidFill>
              <w14:schemeClr w14:val="tx1"/>
            </w14:solidFill>
          </w14:textFill>
        </w:rPr>
        <w:t xml:space="preserve">6  </w:t>
      </w:r>
      <w:r>
        <w:rPr>
          <w:rFonts w:hint="eastAsia" w:ascii="Times New Roman" w:hAnsi="Times New Roman"/>
          <w:color w:val="000000" w:themeColor="text1"/>
          <w:lang w:bidi="ar"/>
          <w14:textFill>
            <w14:solidFill>
              <w14:schemeClr w14:val="tx1"/>
            </w14:solidFill>
          </w14:textFill>
        </w:rPr>
        <w:t>如同时从一个主管机关转至另一个主管机关和从一个公司转至另一个公司，本条</w:t>
      </w:r>
      <w:r>
        <w:rPr>
          <w:rFonts w:ascii="Times New Roman" w:hAnsi="Times New Roman"/>
          <w:color w:val="000000" w:themeColor="text1"/>
          <w:lang w:bidi="ar"/>
          <w14:textFill>
            <w14:solidFill>
              <w14:schemeClr w14:val="tx1"/>
            </w14:solidFill>
          </w14:textFill>
        </w:rPr>
        <w:t>4</w:t>
      </w:r>
      <w:r>
        <w:rPr>
          <w:rFonts w:hint="eastAsia" w:ascii="Times New Roman" w:hAnsi="Times New Roman"/>
          <w:color w:val="000000" w:themeColor="text1"/>
          <w:lang w:bidi="ar"/>
          <w14:textFill>
            <w14:solidFill>
              <w14:schemeClr w14:val="tx1"/>
            </w14:solidFill>
          </w14:textFill>
        </w:rPr>
        <w:t>应适用。</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6bis  如同时从一个主管机关转至另一个主管机关和从一个公司转至另一个公司，本条4bis应适用。</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7  数据应按主管机关制定的程序予以验证，并考虑</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拟制定的导则</w:t>
      </w:r>
      <w:r>
        <w:rPr>
          <w:rStyle w:val="33"/>
          <w:rFonts w:hint="eastAsia" w:ascii="Times New Roman" w:hAnsi="Times New Roman"/>
          <w:color w:val="000000" w:themeColor="text1"/>
          <w:lang w:bidi="ar"/>
          <w14:textFill>
            <w14:solidFill>
              <w14:schemeClr w14:val="tx1"/>
            </w14:solidFill>
          </w14:textFill>
        </w:rPr>
        <w:footnoteReference w:id="39"/>
      </w:r>
      <w:r>
        <w:rPr>
          <w:rFonts w:hint="eastAsia" w:ascii="Times New Roman" w:hAnsi="Times New Roman"/>
          <w:color w:val="000000" w:themeColor="text1"/>
          <w:lang w:bidi="ar"/>
          <w14:textFill>
            <w14:solidFill>
              <w14:schemeClr w14:val="tx1"/>
            </w14:solidFill>
          </w14:textFill>
        </w:rPr>
        <w:t>。</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8  除本条4、5和6规定外，对于上一个日历年的本附则附录IX规定的报告数据的未合计数据，应从该日历年年末开始的至少12个月内随时可获得，并</w:t>
      </w:r>
      <w:r>
        <w:rPr>
          <w:rFonts w:hint="eastAsia" w:ascii="Times New Roman" w:hAnsi="Times New Roman"/>
          <w:strike/>
          <w:color w:val="FF0000"/>
          <w:lang w:bidi="ar"/>
        </w:rPr>
        <w:t>在要求时</w:t>
      </w:r>
      <w:r>
        <w:rPr>
          <w:rFonts w:hint="eastAsia" w:ascii="Times New Roman" w:hAnsi="Times New Roman"/>
          <w:color w:val="FF0000"/>
          <w:u w:val="single"/>
          <w:lang w:bidi="ar"/>
        </w:rPr>
        <w:t>可应要求</w:t>
      </w:r>
      <w:r>
        <w:rPr>
          <w:rFonts w:hint="eastAsia" w:ascii="Times New Roman" w:hAnsi="Times New Roman"/>
          <w:color w:val="000000" w:themeColor="text1"/>
          <w:lang w:bidi="ar"/>
          <w14:textFill>
            <w14:solidFill>
              <w14:schemeClr w14:val="tx1"/>
            </w14:solidFill>
          </w14:textFill>
        </w:rPr>
        <w:t>提供给主管机关。</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9  主管机关应确保5000总吨及以上的注册船舶所报告的本附则附录IX规定的数据，</w:t>
      </w:r>
      <w:r>
        <w:rPr>
          <w:rFonts w:hint="eastAsia" w:ascii="Times New Roman" w:hAnsi="Times New Roman"/>
          <w:strike/>
          <w:color w:val="FF0000"/>
          <w:lang w:bidi="ar"/>
        </w:rPr>
        <w:t>应</w:t>
      </w:r>
      <w:r>
        <w:rPr>
          <w:rFonts w:hint="eastAsia" w:ascii="Times New Roman" w:hAnsi="Times New Roman"/>
          <w:color w:val="000000" w:themeColor="text1"/>
          <w:lang w:bidi="ar"/>
          <w14:textFill>
            <w14:solidFill>
              <w14:schemeClr w14:val="tx1"/>
            </w14:solidFill>
          </w14:textFill>
        </w:rPr>
        <w:t>不迟于签发符合声明后一个月通过电子通信并使用</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拟制定的标准格式传输至IMO船舶燃油消耗数据库。</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color w:val="000000" w:themeColor="text1"/>
          <w:lang w:bidi="ar"/>
          <w14:textFill>
            <w14:solidFill>
              <w14:schemeClr w14:val="tx1"/>
            </w14:solidFill>
          </w14:textFill>
        </w:rPr>
        <w:t>10  根据提交给IMO船舶燃油消耗数据库的报告数据，</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秘书长应向海上环境保护委员会递交一份年度报告，概述收集的数据，丢失数据的状况以及</w:t>
      </w:r>
      <w:r>
        <w:rPr>
          <w:rFonts w:hint="eastAsia" w:ascii="Times New Roman" w:hAnsi="Times New Roman"/>
          <w:strike/>
          <w:color w:val="FF0000"/>
          <w:lang w:bidi="ar"/>
        </w:rPr>
        <w:t>本</w:t>
      </w:r>
      <w:r>
        <w:rPr>
          <w:rFonts w:hint="eastAsia" w:ascii="Times New Roman" w:hAnsi="Times New Roman"/>
          <w:color w:val="FF0000"/>
          <w:u w:val="single"/>
          <w:lang w:bidi="ar"/>
        </w:rPr>
        <w:t>该</w:t>
      </w:r>
      <w:r>
        <w:rPr>
          <w:rFonts w:hint="eastAsia" w:ascii="Times New Roman" w:hAnsi="Times New Roman"/>
          <w:color w:val="000000" w:themeColor="text1"/>
          <w:lang w:bidi="ar"/>
          <w14:textFill>
            <w14:solidFill>
              <w14:schemeClr w14:val="tx1"/>
            </w14:solidFill>
          </w14:textFill>
        </w:rPr>
        <w:t>委员会可能要求的其他相关信息。</w:t>
      </w:r>
    </w:p>
    <w:p>
      <w:pPr>
        <w:pStyle w:val="10"/>
        <w:ind w:firstLine="420"/>
        <w:rPr>
          <w:rFonts w:ascii="Times New Roman" w:hAnsi="Times New Roman"/>
          <w:color w:val="FF0000"/>
          <w:u w:val="single"/>
          <w:lang w:bidi="ar"/>
        </w:rPr>
      </w:pPr>
      <w:r>
        <w:rPr>
          <w:rFonts w:hint="eastAsia" w:ascii="Times New Roman" w:hAnsi="Times New Roman"/>
          <w:color w:val="FF0000"/>
          <w:u w:val="single"/>
          <w:lang w:bidi="ar"/>
        </w:rPr>
        <w:t xml:space="preserve">11 </w:t>
      </w:r>
      <w:r>
        <w:rPr>
          <w:rFonts w:ascii="Times New Roman" w:hAnsi="Times New Roman"/>
          <w:color w:val="FF0000"/>
          <w:u w:val="single"/>
          <w:lang w:bidi="ar"/>
        </w:rPr>
        <w:t xml:space="preserve"> </w:t>
      </w:r>
      <w:r>
        <w:rPr>
          <w:rFonts w:hint="eastAsia" w:ascii="Times New Roman" w:hAnsi="Times New Roman"/>
          <w:color w:val="FF0000"/>
          <w:u w:val="single"/>
          <w:lang w:bidi="ar"/>
        </w:rPr>
        <w:t>国际海事组织秘书长应允许本章第28条适用的船舶的主管机关可查阅</w:t>
      </w:r>
      <w:r>
        <w:rPr>
          <w:rFonts w:ascii="Times New Roman" w:hAnsi="Times New Roman"/>
          <w:color w:val="FF0000"/>
          <w:u w:val="single"/>
          <w:lang w:bidi="ar"/>
        </w:rPr>
        <w:t>IMO</w:t>
      </w:r>
      <w:r>
        <w:rPr>
          <w:rFonts w:hint="eastAsia" w:ascii="Times New Roman" w:hAnsi="Times New Roman"/>
          <w:color w:val="FF0000"/>
          <w:u w:val="single"/>
          <w:lang w:bidi="ar"/>
        </w:rPr>
        <w:t>船舶燃油消耗数据库中该船在过去所有日历年所报告的所有数据。</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strike/>
          <w:color w:val="FF0000"/>
          <w:lang w:bidi="ar"/>
        </w:rPr>
        <w:t>11</w:t>
      </w:r>
      <w:r>
        <w:rPr>
          <w:rFonts w:ascii="Times New Roman" w:hAnsi="Times New Roman"/>
          <w:color w:val="FF0000"/>
          <w:u w:val="single"/>
          <w:lang w:bidi="ar"/>
        </w:rPr>
        <w:t>1</w:t>
      </w:r>
      <w:r>
        <w:rPr>
          <w:rFonts w:hint="eastAsia" w:ascii="Times New Roman" w:hAnsi="Times New Roman"/>
          <w:color w:val="FF0000"/>
          <w:u w:val="single"/>
          <w:lang w:bidi="ar"/>
        </w:rPr>
        <w:t>2</w:t>
      </w:r>
      <w:r>
        <w:rPr>
          <w:rFonts w:hint="eastAsia" w:ascii="Times New Roman" w:hAnsi="Times New Roman"/>
          <w:color w:val="000000" w:themeColor="text1"/>
          <w:lang w:bidi="ar"/>
          <w14:textFill>
            <w14:solidFill>
              <w14:schemeClr w14:val="tx1"/>
            </w14:solidFill>
          </w14:textFill>
        </w:rPr>
        <w:t xml:space="preserve">  </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秘书长应</w:t>
      </w:r>
      <w:r>
        <w:rPr>
          <w:rFonts w:hint="eastAsia" w:ascii="Times New Roman" w:hAnsi="Times New Roman"/>
          <w:strike/>
          <w:color w:val="FF0000"/>
          <w:lang w:bidi="ar"/>
        </w:rPr>
        <w:t>维护匿名数据库</w:t>
      </w:r>
      <w:r>
        <w:rPr>
          <w:rFonts w:hint="eastAsia" w:ascii="Times New Roman" w:hAnsi="Times New Roman"/>
          <w:color w:val="FF0000"/>
          <w:u w:val="single"/>
          <w:lang w:bidi="ar"/>
        </w:rPr>
        <w:t>保持数据库匿名</w:t>
      </w:r>
      <w:r>
        <w:rPr>
          <w:rFonts w:hint="eastAsia" w:ascii="Times New Roman" w:hAnsi="Times New Roman"/>
          <w:color w:val="000000" w:themeColor="text1"/>
          <w:lang w:bidi="ar"/>
          <w14:textFill>
            <w14:solidFill>
              <w14:schemeClr w14:val="tx1"/>
            </w14:solidFill>
          </w14:textFill>
        </w:rPr>
        <w:t>，从而无法识别特定船舶。缔约国获得的匿名数据应限于分析和审议</w:t>
      </w:r>
      <w:r>
        <w:rPr>
          <w:rFonts w:hint="eastAsia" w:ascii="Times New Roman" w:hAnsi="Times New Roman"/>
          <w:color w:val="FF0000"/>
          <w:u w:val="single"/>
          <w:lang w:bidi="ar"/>
        </w:rPr>
        <w:t>用</w:t>
      </w:r>
      <w:r>
        <w:rPr>
          <w:rFonts w:hint="eastAsia" w:ascii="Times New Roman" w:hAnsi="Times New Roman"/>
          <w:color w:val="000000" w:themeColor="text1"/>
          <w:lang w:bidi="ar"/>
          <w14:textFill>
            <w14:solidFill>
              <w14:schemeClr w14:val="tx1"/>
            </w14:solidFill>
          </w14:textFill>
        </w:rPr>
        <w:t>。</w:t>
      </w:r>
    </w:p>
    <w:p>
      <w:pPr>
        <w:pStyle w:val="10"/>
        <w:ind w:firstLine="420"/>
        <w:rPr>
          <w:rFonts w:ascii="Times New Roman" w:hAnsi="Times New Roman"/>
          <w:color w:val="000000" w:themeColor="text1"/>
          <w:lang w:bidi="ar"/>
          <w14:textFill>
            <w14:solidFill>
              <w14:schemeClr w14:val="tx1"/>
            </w14:solidFill>
          </w14:textFill>
        </w:rPr>
      </w:pPr>
      <w:r>
        <w:rPr>
          <w:rFonts w:hint="eastAsia" w:ascii="Times New Roman" w:hAnsi="Times New Roman"/>
          <w:strike/>
          <w:color w:val="FF0000"/>
          <w:lang w:bidi="ar"/>
        </w:rPr>
        <w:t>12</w:t>
      </w:r>
      <w:r>
        <w:rPr>
          <w:rFonts w:ascii="Times New Roman" w:hAnsi="Times New Roman"/>
          <w:color w:val="FF0000"/>
          <w:u w:val="single"/>
          <w:lang w:bidi="ar"/>
        </w:rPr>
        <w:t>1</w:t>
      </w:r>
      <w:r>
        <w:rPr>
          <w:rFonts w:hint="eastAsia" w:ascii="Times New Roman" w:hAnsi="Times New Roman"/>
          <w:color w:val="FF0000"/>
          <w:u w:val="single"/>
          <w:lang w:bidi="ar"/>
        </w:rPr>
        <w:t>3</w:t>
      </w:r>
      <w:r>
        <w:rPr>
          <w:rFonts w:hint="eastAsia" w:ascii="Times New Roman" w:hAnsi="Times New Roman"/>
          <w:color w:val="000000" w:themeColor="text1"/>
          <w:lang w:bidi="ar"/>
          <w14:textFill>
            <w14:solidFill>
              <w14:schemeClr w14:val="tx1"/>
            </w14:solidFill>
          </w14:textFill>
        </w:rPr>
        <w:t xml:space="preserve">  IMO船舶燃油消耗数据库由</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秘书长按</w:t>
      </w:r>
      <w:r>
        <w:rPr>
          <w:rFonts w:hint="eastAsia" w:ascii="Times New Roman" w:hAnsi="Times New Roman"/>
          <w:strike/>
          <w:color w:val="FF0000"/>
          <w:lang w:bidi="ar"/>
        </w:rPr>
        <w:t>IMO</w:t>
      </w:r>
      <w:r>
        <w:rPr>
          <w:rFonts w:hint="eastAsia" w:ascii="Times New Roman" w:hAnsi="Times New Roman"/>
          <w:color w:val="FF0000"/>
          <w:u w:val="single"/>
          <w:lang w:bidi="ar"/>
        </w:rPr>
        <w:t>国际海事组织</w:t>
      </w:r>
      <w:r>
        <w:rPr>
          <w:rFonts w:hint="eastAsia" w:ascii="Times New Roman" w:hAnsi="Times New Roman"/>
          <w:color w:val="000000" w:themeColor="text1"/>
          <w:lang w:bidi="ar"/>
          <w14:textFill>
            <w14:solidFill>
              <w14:schemeClr w14:val="tx1"/>
            </w14:solidFill>
          </w14:textFill>
        </w:rPr>
        <w:t>拟制定的导则</w:t>
      </w:r>
      <w:r>
        <w:rPr>
          <w:rStyle w:val="33"/>
          <w:rFonts w:hint="eastAsia" w:ascii="Times New Roman" w:hAnsi="Times New Roman"/>
          <w:strike/>
          <w:color w:val="FF0000"/>
          <w:lang w:bidi="ar"/>
        </w:rPr>
        <w:footnoteReference w:id="40"/>
      </w:r>
      <w:r>
        <w:rPr>
          <w:rFonts w:hint="eastAsia" w:ascii="Times New Roman" w:hAnsi="Times New Roman"/>
          <w:color w:val="000000" w:themeColor="text1"/>
          <w:lang w:bidi="ar"/>
          <w14:textFill>
            <w14:solidFill>
              <w14:schemeClr w14:val="tx1"/>
            </w14:solidFill>
          </w14:textFill>
        </w:rPr>
        <w:t>予以负责和管理。”</w:t>
      </w:r>
    </w:p>
    <w:p>
      <w:pPr>
        <w:pStyle w:val="10"/>
        <w:ind w:firstLine="420"/>
        <w:rPr>
          <w:rFonts w:ascii="楷体" w:hAnsi="楷体" w:eastAsia="楷体" w:cs="楷体"/>
          <w:snapToGrid w:val="0"/>
          <w:color w:val="0000FF"/>
          <w:kern w:val="0"/>
        </w:rPr>
      </w:pPr>
    </w:p>
    <w:p>
      <w:pPr>
        <w:ind w:firstLine="397"/>
        <w:rPr>
          <w:rFonts w:ascii="楷体" w:hAnsi="楷体" w:eastAsia="楷体"/>
        </w:rPr>
      </w:pPr>
      <w:r>
        <w:rPr>
          <w:rFonts w:hint="eastAsia" w:ascii="楷体" w:hAnsi="楷体" w:eastAsia="楷体"/>
        </w:rPr>
        <w:t>新增第28条如下：</w:t>
      </w:r>
    </w:p>
    <w:p>
      <w:pPr>
        <w:pStyle w:val="10"/>
        <w:jc w:val="center"/>
        <w:outlineLvl w:val="3"/>
        <w:rPr>
          <w:rFonts w:ascii="Times New Roman" w:hAnsi="Times New Roman" w:eastAsia="黑体"/>
          <w:bCs/>
          <w:color w:val="FF0000"/>
          <w:u w:val="single"/>
        </w:rPr>
      </w:pPr>
      <w:bookmarkStart w:id="98" w:name="_Toc1818"/>
      <w:r>
        <w:rPr>
          <w:rFonts w:hint="eastAsia" w:hAnsi="宋体" w:eastAsia="宋体" w:cs="宋体"/>
          <w:bCs/>
        </w:rPr>
        <w:t>“</w:t>
      </w:r>
      <w:r>
        <w:rPr>
          <w:rFonts w:hint="eastAsia" w:ascii="Times New Roman" w:hAnsi="Times New Roman" w:eastAsia="黑体"/>
          <w:bCs/>
          <w:color w:val="FF0000"/>
          <w:u w:val="single"/>
        </w:rPr>
        <w:t>第28条 营运碳强度</w:t>
      </w:r>
      <w:bookmarkEnd w:id="98"/>
    </w:p>
    <w:p>
      <w:pPr>
        <w:pStyle w:val="10"/>
        <w:jc w:val="center"/>
        <w:rPr>
          <w:rFonts w:ascii="Times New Roman" w:hAnsi="Times New Roman" w:eastAsia="黑体"/>
          <w:bCs/>
          <w:color w:val="FF0000"/>
          <w:u w:val="single"/>
        </w:rPr>
      </w:pPr>
    </w:p>
    <w:p>
      <w:pPr>
        <w:ind w:firstLine="422" w:firstLineChars="200"/>
        <w:rPr>
          <w:rFonts w:ascii="Times New Roman" w:hAnsi="Times New Roman" w:cs="Times New Roman"/>
          <w:b/>
        </w:rPr>
      </w:pPr>
      <w:r>
        <w:rPr>
          <w:b/>
        </w:rPr>
        <w:t>达到的年度营运碳强度</w:t>
      </w:r>
      <w:r>
        <w:rPr>
          <w:rFonts w:ascii="Times New Roman" w:hAnsi="Times New Roman" w:cs="Times New Roman"/>
          <w:b/>
        </w:rPr>
        <w:t>指标（达到的年度营运CII）</w:t>
      </w:r>
    </w:p>
    <w:p>
      <w:pPr>
        <w:pStyle w:val="10"/>
        <w:ind w:firstLine="420"/>
        <w:rPr>
          <w:rFonts w:ascii="Times New Roman" w:hAnsi="Times New Roman" w:cs="Times New Roman"/>
          <w:lang w:bidi="ar"/>
        </w:rPr>
      </w:pPr>
      <w:r>
        <w:rPr>
          <w:rFonts w:ascii="Times New Roman" w:hAnsi="Times New Roman" w:cs="Times New Roman"/>
          <w:lang w:bidi="ar"/>
        </w:rPr>
        <w:t>1  在日历年2023年结束以后并在其后每个日历年结束以后，每艘5000总吨及以上且属于本章第2.2.5、2.2.7、2.2.9、2.2.11、2.2.14至2.2.16、2.2.22和2.2.26至2.2.29条规定的一种或多种类别的船舶，应采用按本章第27条收集的数据，结合国际海事组织拟制定的指南，计算上一个日历年从1月1日至12月31日共12个月期间达到的年度营运CII。</w:t>
      </w:r>
    </w:p>
    <w:p>
      <w:pPr>
        <w:pStyle w:val="10"/>
        <w:ind w:firstLine="420"/>
        <w:rPr>
          <w:rFonts w:ascii="Times New Roman" w:hAnsi="Times New Roman" w:cs="Times New Roman"/>
          <w:lang w:bidi="ar"/>
        </w:rPr>
      </w:pPr>
      <w:r>
        <w:rPr>
          <w:rFonts w:ascii="Times New Roman" w:hAnsi="Times New Roman" w:cs="Times New Roman"/>
          <w:lang w:bidi="ar"/>
        </w:rPr>
        <w:t>2  在每个日历年结束以后的3个月内，船舶应通过电子通信并使用国际海事组织拟制定的标准格式向主管机关或经其正式授权的任何组织报告达到的年度营运CII。</w:t>
      </w:r>
    </w:p>
    <w:p>
      <w:pPr>
        <w:pStyle w:val="10"/>
        <w:ind w:firstLine="420"/>
        <w:rPr>
          <w:rFonts w:ascii="Times New Roman" w:hAnsi="Times New Roman" w:cs="Times New Roman"/>
          <w:lang w:bidi="ar"/>
        </w:rPr>
      </w:pPr>
      <w:r>
        <w:rPr>
          <w:rFonts w:ascii="Times New Roman" w:hAnsi="Times New Roman" w:cs="Times New Roman"/>
          <w:lang w:bidi="ar"/>
        </w:rPr>
        <w:t>3  尽管有本条1和2的规定，对在2023年1月1日以后发生的第27.4、27.5或27.6条规定的任何船舶转移，船舶应在发生转移的日历年结束以后，结合国际海事组织拟制定的指南，按第28.1和28.2条计算并报告转移所在日历年从1月1日至12月31日整个12个月期间船舶达到的年度营运CII，并按本章第6.6条进行验证。本条中的任何内容均不免除任何船舶按本章第27条或本条规定承担的报告义务。</w:t>
      </w:r>
    </w:p>
    <w:p>
      <w:pPr>
        <w:ind w:firstLine="422" w:firstLineChars="200"/>
        <w:rPr>
          <w:rFonts w:ascii="Times New Roman" w:hAnsi="Times New Roman" w:cs="Times New Roman"/>
          <w:b/>
        </w:rPr>
      </w:pPr>
      <w:r>
        <w:rPr>
          <w:rFonts w:ascii="Times New Roman" w:hAnsi="Times New Roman" w:cs="Times New Roman"/>
          <w:b/>
        </w:rPr>
        <w:t>要求的年度营运碳强度指标（要求的年度营运CII）</w:t>
      </w:r>
    </w:p>
    <w:p>
      <w:pPr>
        <w:ind w:firstLine="420" w:firstLineChars="200"/>
        <w:rPr>
          <w:rFonts w:ascii="Times New Roman" w:hAnsi="Times New Roman" w:cs="Times New Roman"/>
        </w:rPr>
      </w:pPr>
      <w:r>
        <w:rPr>
          <w:rFonts w:ascii="Times New Roman" w:hAnsi="Times New Roman" w:cs="Times New Roman"/>
        </w:rPr>
        <w:t>4  对于每艘5000总吨及以上且属于本章第2.2.5、2.2.7、2.2.9、2.2.11、2.2.14至2.2.16、2.2.22和2.2.26至2.2.29条规定的一种或多种类别的船舶，应按如下公式确定要求的年度营运CII：</w:t>
      </w:r>
    </w:p>
    <w:p>
      <w:pPr>
        <w:autoSpaceDE w:val="0"/>
        <w:autoSpaceDN w:val="0"/>
        <w:adjustRightInd w:val="0"/>
        <w:spacing w:after="50"/>
        <w:jc w:val="center"/>
        <w:rPr>
          <w:rFonts w:ascii="Times New Roman" w:hAnsi="Times New Roman" w:cs="Times New Roman"/>
          <w:kern w:val="0"/>
          <w:szCs w:val="21"/>
        </w:rPr>
      </w:pPr>
      <w:r>
        <w:rPr>
          <w:rFonts w:ascii="Times New Roman" w:hAnsi="Times New Roman" w:cs="Times New Roman"/>
          <w:kern w:val="0"/>
          <w:szCs w:val="21"/>
        </w:rPr>
        <w:t>Required Annual operational CII = (1-</w:t>
      </w:r>
      <m:oMath>
        <m:f>
          <m:fPr>
            <m:ctrlPr>
              <w:rPr>
                <w:rFonts w:ascii="Cambria Math" w:hAnsi="Cambria Math" w:cs="Times New Roman"/>
                <w:i/>
                <w:kern w:val="0"/>
                <w:szCs w:val="21"/>
              </w:rPr>
            </m:ctrlPr>
          </m:fPr>
          <m:num>
            <m:r>
              <m:rPr/>
              <w:rPr>
                <w:rFonts w:ascii="Cambria Math" w:hAnsi="Cambria Math" w:cs="Times New Roman"/>
                <w:kern w:val="0"/>
                <w:szCs w:val="21"/>
              </w:rPr>
              <m:t>z</m:t>
            </m:r>
            <m:ctrlPr>
              <w:rPr>
                <w:rFonts w:ascii="Cambria Math" w:hAnsi="Cambria Math" w:cs="Times New Roman"/>
                <w:i/>
                <w:kern w:val="0"/>
                <w:szCs w:val="21"/>
              </w:rPr>
            </m:ctrlPr>
          </m:num>
          <m:den>
            <m:r>
              <m:rPr/>
              <w:rPr>
                <w:rFonts w:ascii="Cambria Math" w:hAnsi="Cambria Math" w:cs="Times New Roman"/>
                <w:kern w:val="0"/>
                <w:szCs w:val="21"/>
              </w:rPr>
              <m:t>100</m:t>
            </m:r>
            <m:ctrlPr>
              <w:rPr>
                <w:rFonts w:ascii="Cambria Math" w:hAnsi="Cambria Math" w:cs="Times New Roman"/>
                <w:i/>
                <w:kern w:val="0"/>
                <w:szCs w:val="21"/>
              </w:rPr>
            </m:ctrlPr>
          </m:den>
        </m:f>
      </m:oMath>
      <w:r>
        <w:rPr>
          <w:rFonts w:ascii="Times New Roman" w:hAnsi="Times New Roman" w:cs="Times New Roman"/>
          <w:kern w:val="0"/>
          <w:szCs w:val="21"/>
        </w:rPr>
        <w:t>)·CII</w:t>
      </w:r>
      <w:r>
        <w:rPr>
          <w:rFonts w:ascii="Times New Roman" w:hAnsi="Times New Roman" w:cs="Times New Roman"/>
          <w:kern w:val="0"/>
          <w:szCs w:val="21"/>
          <w:vertAlign w:val="subscript"/>
        </w:rPr>
        <w:t>R</w:t>
      </w:r>
    </w:p>
    <w:p>
      <w:pPr>
        <w:ind w:firstLine="420" w:firstLineChars="200"/>
        <w:rPr>
          <w:rFonts w:ascii="Times New Roman" w:hAnsi="Times New Roman" w:cs="Times New Roman"/>
        </w:rPr>
      </w:pPr>
      <w:r>
        <w:rPr>
          <w:rFonts w:ascii="Times New Roman" w:hAnsi="Times New Roman" w:cs="Times New Roman"/>
        </w:rPr>
        <w:t>式中，Z为年度折减系数，以确保在特定的评级水平内持续改进船舶的营运碳强度;和</w:t>
      </w:r>
    </w:p>
    <w:p>
      <w:pPr>
        <w:ind w:firstLine="1050" w:firstLineChars="500"/>
        <w:rPr>
          <w:rFonts w:ascii="Times New Roman" w:hAnsi="Times New Roman" w:cs="Times New Roman"/>
        </w:rPr>
      </w:pPr>
      <w:r>
        <w:rPr>
          <w:rFonts w:ascii="Times New Roman" w:hAnsi="Times New Roman" w:cs="Times New Roman"/>
        </w:rPr>
        <w:t>CII</w:t>
      </w:r>
      <w:r>
        <w:rPr>
          <w:rFonts w:ascii="Times New Roman" w:hAnsi="Times New Roman" w:cs="Times New Roman"/>
          <w:vertAlign w:val="subscript"/>
        </w:rPr>
        <w:t>R</w:t>
      </w:r>
      <w:r>
        <w:rPr>
          <w:rFonts w:ascii="Times New Roman" w:hAnsi="Times New Roman" w:cs="Times New Roman"/>
        </w:rPr>
        <w:t>为基准值。</w:t>
      </w:r>
    </w:p>
    <w:p>
      <w:pPr>
        <w:ind w:firstLine="420" w:firstLineChars="200"/>
        <w:rPr>
          <w:rFonts w:ascii="Times New Roman" w:hAnsi="Times New Roman" w:cs="Times New Roman"/>
        </w:rPr>
      </w:pPr>
      <w:r>
        <w:rPr>
          <w:rFonts w:ascii="Times New Roman" w:hAnsi="Times New Roman" w:cs="Times New Roman"/>
        </w:rPr>
        <w:t>5  年度折减系数Z</w:t>
      </w:r>
      <w:r>
        <w:rPr>
          <w:rStyle w:val="33"/>
          <w:rFonts w:ascii="Times New Roman" w:hAnsi="Times New Roman" w:cs="Times New Roman"/>
        </w:rPr>
        <w:footnoteReference w:id="41"/>
      </w:r>
      <w:r>
        <w:rPr>
          <w:rFonts w:ascii="Times New Roman" w:hAnsi="Times New Roman" w:cs="Times New Roman"/>
        </w:rPr>
        <w:t>和基准值CII</w:t>
      </w:r>
      <w:r>
        <w:rPr>
          <w:rFonts w:ascii="Times New Roman" w:hAnsi="Times New Roman" w:cs="Times New Roman"/>
          <w:vertAlign w:val="subscript"/>
        </w:rPr>
        <w:t>R</w:t>
      </w:r>
      <w:r>
        <w:rPr>
          <w:rFonts w:ascii="Times New Roman" w:hAnsi="Times New Roman" w:cs="Times New Roman"/>
        </w:rPr>
        <w:t>应参照国际海事组织拟制定指南中的定义。</w:t>
      </w:r>
    </w:p>
    <w:p>
      <w:pPr>
        <w:ind w:firstLine="422" w:firstLineChars="200"/>
        <w:rPr>
          <w:rFonts w:ascii="Times New Roman" w:hAnsi="Times New Roman" w:cs="Times New Roman"/>
          <w:b/>
        </w:rPr>
      </w:pPr>
      <w:r>
        <w:rPr>
          <w:rFonts w:ascii="Times New Roman" w:hAnsi="Times New Roman" w:cs="Times New Roman"/>
          <w:b/>
        </w:rPr>
        <w:t>营运碳强度评级</w:t>
      </w:r>
    </w:p>
    <w:p>
      <w:pPr>
        <w:ind w:firstLine="420" w:firstLineChars="200"/>
        <w:rPr>
          <w:rFonts w:ascii="Times New Roman" w:hAnsi="Times New Roman" w:cs="Times New Roman"/>
        </w:rPr>
      </w:pPr>
      <w:r>
        <w:rPr>
          <w:rFonts w:ascii="Times New Roman" w:hAnsi="Times New Roman" w:cs="Times New Roman"/>
        </w:rPr>
        <w:t xml:space="preserve">6  </w:t>
      </w:r>
      <w:r>
        <w:rPr>
          <w:rFonts w:ascii="Times New Roman" w:hAnsi="Times New Roman" w:cs="Times New Roman"/>
          <w:szCs w:val="21"/>
        </w:rPr>
        <w:t>主管机关或经其正式授权的任何组织</w:t>
      </w:r>
      <w:r>
        <w:rPr>
          <w:rFonts w:ascii="Times New Roman" w:hAnsi="Times New Roman" w:cs="Times New Roman"/>
        </w:rPr>
        <w:t>应记录船舶达到的年度营运CII，并结合国际海事组织拟制定的指南对照要求的年度营运CII对其进行验证，以确定其营运碳强度等级A、B、C、D或E，分别表示优秀、良好、普通、稍差、或不合格的表现水平。C级中点对应的值应与本条4所述的要求的年度营运CII相等。</w:t>
      </w:r>
    </w:p>
    <w:p>
      <w:pPr>
        <w:ind w:firstLine="422" w:firstLineChars="200"/>
        <w:rPr>
          <w:rFonts w:ascii="Times New Roman" w:hAnsi="Times New Roman" w:cs="Times New Roman"/>
          <w:b/>
        </w:rPr>
      </w:pPr>
      <w:r>
        <w:rPr>
          <w:rFonts w:ascii="Times New Roman" w:hAnsi="Times New Roman" w:cs="Times New Roman"/>
          <w:b/>
        </w:rPr>
        <w:t>纠正行动和奖励</w:t>
      </w:r>
    </w:p>
    <w:p>
      <w:pPr>
        <w:ind w:firstLine="420" w:firstLineChars="200"/>
        <w:rPr>
          <w:rFonts w:ascii="Times New Roman" w:hAnsi="Times New Roman" w:cs="Times New Roman"/>
        </w:rPr>
      </w:pPr>
      <w:r>
        <w:rPr>
          <w:rFonts w:ascii="Times New Roman" w:hAnsi="Times New Roman" w:cs="Times New Roman"/>
        </w:rPr>
        <w:t xml:space="preserve">7  </w:t>
      </w:r>
      <w:r>
        <w:rPr>
          <w:rFonts w:ascii="Times New Roman" w:hAnsi="Times New Roman" w:cs="Times New Roman"/>
          <w:szCs w:val="21"/>
        </w:rPr>
        <w:t>被评为E级或连续三年被评为D级的船舶应制定纠正行动计划</w:t>
      </w:r>
      <w:r>
        <w:rPr>
          <w:rFonts w:ascii="Times New Roman" w:hAnsi="Times New Roman" w:cs="Times New Roman"/>
        </w:rPr>
        <w:t>以达到要求的年度营运CII。</w:t>
      </w:r>
    </w:p>
    <w:p>
      <w:pPr>
        <w:ind w:firstLine="420" w:firstLineChars="200"/>
        <w:rPr>
          <w:szCs w:val="21"/>
        </w:rPr>
      </w:pPr>
      <w:r>
        <w:rPr>
          <w:rFonts w:ascii="Times New Roman" w:hAnsi="Times New Roman" w:cs="Times New Roman"/>
        </w:rPr>
        <w:t>8  应结合国际海事组织拟制定的指南对SEEMP进行审核以包括相应的纠正行动计划。经修订的SEEMP应在</w:t>
      </w:r>
      <w:r>
        <w:rPr>
          <w:rFonts w:ascii="Times New Roman" w:hAnsi="Times New Roman" w:cs="Times New Roman"/>
          <w:szCs w:val="21"/>
        </w:rPr>
        <w:t>不迟于按本条2报告达到的年度营运CII后的1个月</w:t>
      </w:r>
      <w:r>
        <w:rPr>
          <w:rFonts w:ascii="Times New Roman" w:hAnsi="Times New Roman" w:cs="Times New Roman"/>
        </w:rPr>
        <w:t>提交至</w:t>
      </w:r>
      <w:r>
        <w:rPr>
          <w:rFonts w:ascii="Times New Roman" w:hAnsi="Times New Roman" w:cs="Times New Roman"/>
          <w:szCs w:val="21"/>
        </w:rPr>
        <w:t>主管机关或经其正式授权的任何组织进行验证，最好可与达到的年度营运CII一起</w:t>
      </w:r>
      <w:r>
        <w:rPr>
          <w:szCs w:val="21"/>
        </w:rPr>
        <w:t>提交。</w:t>
      </w:r>
    </w:p>
    <w:p>
      <w:pPr>
        <w:ind w:firstLine="420" w:firstLineChars="200"/>
        <w:rPr>
          <w:rFonts w:ascii="Times New Roman" w:hAnsi="Times New Roman" w:cs="Times New Roman"/>
          <w:szCs w:val="21"/>
        </w:rPr>
      </w:pPr>
      <w:r>
        <w:rPr>
          <w:rFonts w:ascii="Times New Roman" w:hAnsi="Times New Roman" w:cs="Times New Roman"/>
          <w:szCs w:val="21"/>
        </w:rPr>
        <w:t>9  被评为E级或连续三年被评为D级的船舶应按修订后的SEEMP合理实施既定的纠正行动。</w:t>
      </w:r>
    </w:p>
    <w:p>
      <w:pPr>
        <w:ind w:firstLine="420" w:firstLineChars="200"/>
        <w:rPr>
          <w:rFonts w:ascii="Times New Roman" w:hAnsi="Times New Roman" w:cs="Times New Roman"/>
        </w:rPr>
      </w:pPr>
      <w:r>
        <w:rPr>
          <w:rFonts w:ascii="Times New Roman" w:hAnsi="Times New Roman" w:cs="Times New Roman"/>
        </w:rPr>
        <w:t>10  鼓励主管机关、港口当局和其他利益相关方酌情向评级为A或B的船舶提供奖励。</w:t>
      </w:r>
    </w:p>
    <w:p>
      <w:pPr>
        <w:ind w:firstLine="422" w:firstLineChars="200"/>
        <w:rPr>
          <w:rFonts w:ascii="Times New Roman" w:hAnsi="Times New Roman" w:cs="Times New Roman"/>
          <w:b/>
        </w:rPr>
      </w:pPr>
      <w:r>
        <w:rPr>
          <w:rFonts w:ascii="Times New Roman" w:hAnsi="Times New Roman" w:cs="Times New Roman"/>
          <w:b/>
        </w:rPr>
        <w:t>审核</w:t>
      </w:r>
    </w:p>
    <w:p>
      <w:pPr>
        <w:ind w:firstLine="420" w:firstLineChars="200"/>
        <w:rPr>
          <w:rFonts w:ascii="Times New Roman" w:hAnsi="Times New Roman" w:cs="Times New Roman"/>
        </w:rPr>
      </w:pPr>
      <w:r>
        <w:rPr>
          <w:rFonts w:ascii="Times New Roman" w:hAnsi="Times New Roman" w:cs="Times New Roman"/>
        </w:rPr>
        <w:t>11  国际海事组织应于2026年1月1日前完成审核，以评估：</w:t>
      </w:r>
    </w:p>
    <w:p>
      <w:pPr>
        <w:pStyle w:val="10"/>
        <w:ind w:left="1108" w:leftChars="330" w:hanging="415" w:hangingChars="198"/>
        <w:rPr>
          <w:rFonts w:ascii="Times New Roman" w:hAnsi="Times New Roman" w:cs="Times New Roman"/>
          <w:lang w:bidi="ar"/>
        </w:rPr>
      </w:pPr>
      <w:r>
        <w:rPr>
          <w:rFonts w:ascii="Times New Roman" w:hAnsi="Times New Roman" w:cs="Times New Roman"/>
          <w:lang w:bidi="ar"/>
        </w:rPr>
        <w:t>.1  本条在降低国际航运碳强度方面的有效性；</w:t>
      </w:r>
    </w:p>
    <w:p>
      <w:pPr>
        <w:pStyle w:val="10"/>
        <w:ind w:left="1108" w:leftChars="330" w:hanging="415" w:hangingChars="198"/>
        <w:rPr>
          <w:rFonts w:ascii="Times New Roman" w:hAnsi="Times New Roman" w:cs="Times New Roman"/>
          <w:lang w:bidi="ar"/>
        </w:rPr>
      </w:pPr>
      <w:r>
        <w:rPr>
          <w:rFonts w:ascii="Times New Roman" w:hAnsi="Times New Roman" w:cs="Times New Roman"/>
          <w:lang w:bidi="ar"/>
        </w:rPr>
        <w:t>.2  加强纠正行动或其他纠正方式的需要，包括可能增加额外的EEXI要求；</w:t>
      </w:r>
    </w:p>
    <w:p>
      <w:pPr>
        <w:pStyle w:val="10"/>
        <w:ind w:left="1108" w:leftChars="330" w:hanging="415" w:hangingChars="198"/>
        <w:rPr>
          <w:rFonts w:ascii="Times New Roman" w:hAnsi="Times New Roman" w:cs="Times New Roman"/>
          <w:lang w:bidi="ar"/>
        </w:rPr>
      </w:pPr>
      <w:r>
        <w:rPr>
          <w:rFonts w:ascii="Times New Roman" w:hAnsi="Times New Roman" w:cs="Times New Roman"/>
          <w:lang w:bidi="ar"/>
        </w:rPr>
        <w:t>.3  加强执行机制的需要；</w:t>
      </w:r>
    </w:p>
    <w:p>
      <w:pPr>
        <w:pStyle w:val="10"/>
        <w:ind w:left="1108" w:leftChars="330" w:hanging="415" w:hangingChars="198"/>
        <w:rPr>
          <w:rFonts w:ascii="Times New Roman" w:hAnsi="Times New Roman" w:cs="Times New Roman"/>
          <w:lang w:bidi="ar"/>
        </w:rPr>
      </w:pPr>
      <w:r>
        <w:rPr>
          <w:rFonts w:ascii="Times New Roman" w:hAnsi="Times New Roman" w:cs="Times New Roman"/>
          <w:lang w:bidi="ar"/>
        </w:rPr>
        <w:t>.4  加强数据收集系统的需要；和</w:t>
      </w:r>
    </w:p>
    <w:p>
      <w:pPr>
        <w:pStyle w:val="10"/>
        <w:ind w:left="1108" w:leftChars="330" w:hanging="415" w:hangingChars="198"/>
        <w:rPr>
          <w:rFonts w:ascii="Times New Roman" w:hAnsi="Times New Roman" w:cs="Times New Roman"/>
          <w:lang w:bidi="ar"/>
        </w:rPr>
      </w:pPr>
      <w:r>
        <w:rPr>
          <w:rFonts w:ascii="Times New Roman" w:hAnsi="Times New Roman" w:cs="Times New Roman"/>
          <w:lang w:bidi="ar"/>
        </w:rPr>
        <w:t>.5  对系数Z和CII</w:t>
      </w:r>
      <w:r>
        <w:rPr>
          <w:rFonts w:ascii="Times New Roman" w:hAnsi="Times New Roman" w:cs="Times New Roman"/>
          <w:vertAlign w:val="subscript"/>
          <w:lang w:bidi="ar"/>
        </w:rPr>
        <w:t>R</w:t>
      </w:r>
      <w:r>
        <w:rPr>
          <w:rFonts w:ascii="Times New Roman" w:hAnsi="Times New Roman" w:cs="Times New Roman"/>
          <w:lang w:bidi="ar"/>
        </w:rPr>
        <w:t>值的修正。</w:t>
      </w:r>
    </w:p>
    <w:p>
      <w:pPr>
        <w:ind w:firstLine="420" w:firstLineChars="200"/>
        <w:rPr>
          <w:rFonts w:ascii="Times New Roman" w:hAnsi="Times New Roman" w:cs="Times New Roman"/>
          <w:color w:val="FF0000"/>
        </w:rPr>
      </w:pPr>
      <w:r>
        <w:rPr>
          <w:rFonts w:ascii="Times New Roman" w:hAnsi="Times New Roman" w:cs="Times New Roman"/>
        </w:rPr>
        <w:t>如果缔约国基于审核决定通过对本条的修正案，该修正案应按</w:t>
      </w:r>
      <w:r>
        <w:rPr>
          <w:rFonts w:ascii="Times New Roman" w:hAnsi="Times New Roman" w:cs="Times New Roman"/>
          <w:szCs w:val="21"/>
          <w:lang w:bidi="ar"/>
        </w:rPr>
        <w:t>《1973年国际防止船舶造成污染公约》</w:t>
      </w:r>
      <w:r>
        <w:rPr>
          <w:rFonts w:ascii="Times New Roman" w:hAnsi="Times New Roman" w:cs="Times New Roman"/>
        </w:rPr>
        <w:t>第16条的规定通过并生效。”</w:t>
      </w:r>
    </w:p>
    <w:p>
      <w:pPr>
        <w:adjustRightInd w:val="0"/>
        <w:snapToGrid w:val="0"/>
        <w:ind w:firstLine="440" w:firstLineChars="200"/>
        <w:rPr>
          <w:rFonts w:ascii="Times New Roman" w:hAnsi="Times New Roman" w:eastAsia="楷体" w:cs="Times New Roman"/>
          <w:sz w:val="22"/>
          <w:szCs w:val="22"/>
        </w:rPr>
      </w:pPr>
    </w:p>
    <w:p>
      <w:pPr>
        <w:adjustRightInd w:val="0"/>
        <w:snapToGrid w:val="0"/>
        <w:ind w:firstLine="440" w:firstLineChars="200"/>
        <w:rPr>
          <w:rFonts w:ascii="Times New Roman" w:hAnsi="Times New Roman" w:eastAsia="楷体" w:cs="Times New Roman"/>
          <w:sz w:val="22"/>
          <w:szCs w:val="22"/>
        </w:rPr>
      </w:pPr>
    </w:p>
    <w:p>
      <w:pPr>
        <w:ind w:firstLine="397"/>
        <w:rPr>
          <w:rFonts w:ascii="楷体" w:hAnsi="楷体" w:eastAsia="楷体"/>
        </w:rPr>
      </w:pPr>
      <w:r>
        <w:rPr>
          <w:rFonts w:ascii="楷体" w:hAnsi="楷体" w:eastAsia="楷体"/>
        </w:rPr>
        <w:t>原第23条</w:t>
      </w:r>
      <w:r>
        <w:rPr>
          <w:rFonts w:hint="eastAsia" w:ascii="楷体" w:hAnsi="楷体" w:eastAsia="楷体"/>
        </w:rPr>
        <w:t>改为：</w:t>
      </w:r>
    </w:p>
    <w:p>
      <w:pPr>
        <w:pStyle w:val="10"/>
        <w:jc w:val="center"/>
        <w:outlineLvl w:val="3"/>
        <w:rPr>
          <w:rFonts w:ascii="Times New Roman" w:hAnsi="Times New Roman" w:eastAsia="黑体"/>
          <w:bCs/>
        </w:rPr>
      </w:pPr>
      <w:bookmarkStart w:id="99" w:name="_Toc12662"/>
      <w:r>
        <w:rPr>
          <w:rFonts w:hint="eastAsia" w:hAnsi="宋体" w:eastAsia="宋体" w:cs="宋体"/>
          <w:bCs/>
        </w:rPr>
        <w:t>“</w:t>
      </w:r>
      <w:r>
        <w:rPr>
          <w:rFonts w:hint="eastAsia" w:ascii="Times New Roman" w:hAnsi="Times New Roman" w:eastAsia="黑体"/>
          <w:bCs/>
          <w:strike/>
          <w:color w:val="FF0000"/>
        </w:rPr>
        <w:t>第</w:t>
      </w:r>
      <w:r>
        <w:rPr>
          <w:rFonts w:ascii="Times New Roman" w:hAnsi="Times New Roman" w:eastAsia="黑体"/>
          <w:bCs/>
          <w:strike/>
          <w:color w:val="FF0000"/>
        </w:rPr>
        <w:t>2</w:t>
      </w:r>
      <w:r>
        <w:rPr>
          <w:rFonts w:hint="eastAsia" w:ascii="Times New Roman" w:hAnsi="Times New Roman" w:eastAsia="黑体"/>
          <w:bCs/>
          <w:strike/>
          <w:color w:val="FF0000"/>
        </w:rPr>
        <w:t>3条</w:t>
      </w:r>
      <w:r>
        <w:rPr>
          <w:rFonts w:hint="eastAsia" w:ascii="Times New Roman" w:hAnsi="Times New Roman" w:eastAsia="黑体"/>
          <w:bCs/>
          <w:color w:val="FF0000"/>
          <w:u w:val="single"/>
        </w:rPr>
        <w:t>第</w:t>
      </w:r>
      <w:r>
        <w:rPr>
          <w:rFonts w:ascii="Times New Roman" w:hAnsi="Times New Roman" w:eastAsia="黑体"/>
          <w:bCs/>
          <w:color w:val="FF0000"/>
          <w:u w:val="single"/>
        </w:rPr>
        <w:t>2</w:t>
      </w:r>
      <w:r>
        <w:rPr>
          <w:rFonts w:hint="eastAsia" w:ascii="Times New Roman" w:hAnsi="Times New Roman" w:eastAsia="黑体"/>
          <w:bCs/>
          <w:color w:val="FF0000"/>
          <w:u w:val="single"/>
        </w:rPr>
        <w:t>9条</w:t>
      </w:r>
      <w:r>
        <w:rPr>
          <w:rFonts w:hint="eastAsia" w:ascii="Times New Roman" w:hAnsi="Times New Roman" w:eastAsia="黑体"/>
          <w:bCs/>
        </w:rPr>
        <w:t xml:space="preserve"> </w:t>
      </w:r>
      <w:r>
        <w:rPr>
          <w:rFonts w:ascii="Times New Roman" w:hAnsi="Times New Roman" w:eastAsia="黑体"/>
          <w:bCs/>
        </w:rPr>
        <w:t xml:space="preserve"> </w:t>
      </w:r>
      <w:r>
        <w:rPr>
          <w:rFonts w:hint="eastAsia" w:ascii="Times New Roman" w:hAnsi="Times New Roman" w:eastAsia="黑体"/>
          <w:bCs/>
        </w:rPr>
        <w:t>促进技术合作和改进船舶能效的相关技术转让</w:t>
      </w:r>
      <w:r>
        <w:rPr>
          <w:rStyle w:val="33"/>
          <w:rFonts w:hint="eastAsia" w:ascii="Times New Roman" w:hAnsi="Times New Roman" w:eastAsia="黑体"/>
          <w:bCs/>
        </w:rPr>
        <w:footnoteReference w:id="42"/>
      </w:r>
      <w:bookmarkEnd w:id="99"/>
    </w:p>
    <w:p>
      <w:pPr>
        <w:pStyle w:val="10"/>
        <w:ind w:firstLine="420"/>
        <w:rPr>
          <w:rFonts w:ascii="Times New Roman" w:hAnsi="Times New Roman"/>
          <w:lang w:bidi="ar"/>
        </w:rPr>
      </w:pPr>
    </w:p>
    <w:p>
      <w:pPr>
        <w:pStyle w:val="10"/>
        <w:ind w:firstLine="420"/>
        <w:rPr>
          <w:rFonts w:ascii="Times New Roman" w:hAnsi="Times New Roman"/>
          <w:lang w:bidi="ar"/>
        </w:rPr>
      </w:pPr>
      <w:r>
        <w:rPr>
          <w:rFonts w:ascii="Times New Roman" w:hAnsi="Times New Roman"/>
          <w:lang w:bidi="ar"/>
        </w:rPr>
        <w:t xml:space="preserve">1  </w:t>
      </w:r>
      <w:r>
        <w:rPr>
          <w:rFonts w:hint="eastAsia" w:ascii="Times New Roman" w:hAnsi="Times New Roman"/>
          <w:lang w:bidi="ar"/>
        </w:rPr>
        <w:t>主管机关应与国际海事组织和其他国际机构合作，直接或通过国际海事组织，向请求技术援助的国家特别是发展中国家，推动和提供（如合适）支持。</w:t>
      </w:r>
    </w:p>
    <w:p>
      <w:pPr>
        <w:pStyle w:val="10"/>
        <w:ind w:firstLine="420"/>
        <w:rPr>
          <w:rFonts w:ascii="Times New Roman" w:hAnsi="Times New Roman"/>
          <w:lang w:bidi="ar"/>
        </w:rPr>
      </w:pPr>
      <w:r>
        <w:rPr>
          <w:rFonts w:ascii="Times New Roman" w:hAnsi="Times New Roman"/>
          <w:lang w:bidi="ar"/>
        </w:rPr>
        <w:t xml:space="preserve">2  </w:t>
      </w:r>
      <w:r>
        <w:rPr>
          <w:rFonts w:hint="eastAsia" w:ascii="Times New Roman" w:hAnsi="Times New Roman"/>
          <w:lang w:bidi="ar"/>
        </w:rPr>
        <w:t>缔约国主管机关应与其他缔约国积极合作，根据其国内法律、法规和政策，促进与请求技术援助的国家特别是发展中国家，</w:t>
      </w:r>
      <w:r>
        <w:rPr>
          <w:rFonts w:hint="eastAsia" w:ascii="Times New Roman" w:hAnsi="Times New Roman"/>
          <w:strike/>
          <w:color w:val="FF0000"/>
          <w:lang w:bidi="ar"/>
        </w:rPr>
        <w:t>在实施本附则第IV节特别是第19.4至19.6条的要求时的措施实施方面的技术研发、转让和信息交流。</w:t>
      </w:r>
      <w:r>
        <w:rPr>
          <w:rFonts w:hint="eastAsia" w:ascii="Times New Roman" w:hAnsi="Times New Roman"/>
          <w:color w:val="FF0000"/>
          <w:u w:val="single"/>
          <w:lang w:bidi="ar"/>
        </w:rPr>
        <w:t>在实施措施以满足本章第IV节特别是第19.4至19.6条的要求方面的技术研发、转让和信息交流。</w:t>
      </w:r>
      <w:r>
        <w:rPr>
          <w:rFonts w:hint="eastAsia" w:ascii="Times New Roman" w:hAnsi="Times New Roman"/>
          <w:lang w:bidi="ar"/>
        </w:rPr>
        <w:t>”</w:t>
      </w:r>
    </w:p>
    <w:p>
      <w:pPr>
        <w:pStyle w:val="10"/>
        <w:ind w:firstLine="420"/>
        <w:rPr>
          <w:rFonts w:ascii="Times New Roman" w:hAnsi="Times New Roman" w:eastAsia="楷体"/>
          <w:lang w:bidi="ar"/>
        </w:rPr>
      </w:pPr>
    </w:p>
    <w:p>
      <w:pPr>
        <w:adjustRightInd w:val="0"/>
        <w:snapToGrid w:val="0"/>
        <w:ind w:firstLine="420" w:firstLineChars="200"/>
        <w:rPr>
          <w:rFonts w:ascii="Times New Roman" w:hAnsi="Times New Roman" w:eastAsia="楷体" w:cs="Times New Roman"/>
          <w:snapToGrid w:val="0"/>
          <w:color w:val="0000FF"/>
          <w:kern w:val="0"/>
          <w:szCs w:val="21"/>
        </w:rPr>
      </w:pPr>
    </w:p>
    <w:p>
      <w:pPr>
        <w:pStyle w:val="36"/>
        <w:rPr>
          <w:rFonts w:hint="default" w:ascii="Times New Roman" w:hAnsi="Times New Roman"/>
        </w:rPr>
      </w:pPr>
      <w:bookmarkStart w:id="100" w:name="_Toc22587"/>
      <w:r>
        <w:rPr>
          <w:rFonts w:hint="default" w:ascii="Times New Roman" w:hAnsi="Times New Roman"/>
        </w:rPr>
        <w:t>V  本附则各项规定的符合性验证</w:t>
      </w:r>
      <w:bookmarkEnd w:id="100"/>
    </w:p>
    <w:p>
      <w:pPr>
        <w:widowControl/>
        <w:adjustRightInd w:val="0"/>
        <w:snapToGrid w:val="0"/>
        <w:spacing w:line="360" w:lineRule="auto"/>
        <w:jc w:val="center"/>
        <w:rPr>
          <w:b/>
        </w:rPr>
      </w:pPr>
    </w:p>
    <w:p>
      <w:pPr>
        <w:ind w:firstLine="397"/>
        <w:rPr>
          <w:rFonts w:ascii="楷体" w:hAnsi="楷体" w:eastAsia="楷体"/>
        </w:rPr>
      </w:pPr>
      <w:r>
        <w:rPr>
          <w:rFonts w:hint="eastAsia" w:ascii="楷体" w:hAnsi="楷体" w:eastAsia="楷体"/>
        </w:rPr>
        <w:t>原第24条改为：</w:t>
      </w:r>
    </w:p>
    <w:p>
      <w:pPr>
        <w:pStyle w:val="10"/>
        <w:adjustRightInd w:val="0"/>
        <w:snapToGrid w:val="0"/>
        <w:jc w:val="center"/>
        <w:outlineLvl w:val="3"/>
        <w:rPr>
          <w:rFonts w:ascii="Times New Roman" w:hAnsi="Times New Roman" w:eastAsia="黑体"/>
          <w:bCs/>
        </w:rPr>
      </w:pPr>
      <w:bookmarkStart w:id="101" w:name="_Toc21777"/>
      <w:r>
        <w:rPr>
          <w:rFonts w:hint="eastAsia" w:asciiTheme="minorHAnsi" w:hAnsiTheme="minorHAnsi" w:cstheme="minorBidi"/>
          <w:szCs w:val="24"/>
        </w:rPr>
        <w:t>“</w:t>
      </w:r>
      <w:r>
        <w:rPr>
          <w:rFonts w:hint="eastAsia" w:ascii="Times New Roman" w:hAnsi="Times New Roman" w:eastAsia="黑体"/>
          <w:bCs/>
        </w:rPr>
        <w:t>第</w:t>
      </w:r>
      <w:r>
        <w:rPr>
          <w:rFonts w:hint="eastAsia" w:ascii="Times New Roman" w:hAnsi="Times New Roman" w:eastAsia="黑体"/>
          <w:bCs/>
          <w:strike/>
          <w:color w:val="FF0000"/>
        </w:rPr>
        <w:t>24</w:t>
      </w:r>
      <w:r>
        <w:rPr>
          <w:rFonts w:hint="eastAsia" w:ascii="Times New Roman" w:hAnsi="Times New Roman" w:eastAsia="黑体"/>
          <w:b/>
          <w:color w:val="FF0000"/>
          <w:u w:val="single"/>
        </w:rPr>
        <w:t>30</w:t>
      </w:r>
      <w:r>
        <w:rPr>
          <w:rFonts w:hint="eastAsia" w:ascii="Times New Roman" w:hAnsi="Times New Roman" w:eastAsia="黑体"/>
          <w:bCs/>
        </w:rPr>
        <w:t>条 适用范围</w:t>
      </w:r>
      <w:bookmarkEnd w:id="101"/>
    </w:p>
    <w:p>
      <w:pPr>
        <w:widowControl/>
        <w:adjustRightInd w:val="0"/>
        <w:snapToGrid w:val="0"/>
      </w:pPr>
    </w:p>
    <w:p>
      <w:pPr>
        <w:widowControl/>
        <w:adjustRightInd w:val="0"/>
        <w:snapToGrid w:val="0"/>
        <w:ind w:firstLine="420" w:firstLineChars="200"/>
      </w:pPr>
      <w:r>
        <w:rPr>
          <w:rFonts w:hint="eastAsia"/>
        </w:rPr>
        <w:t>各缔约国在按本附则履行其责任和义务时，应使用实施规则的规定。”</w:t>
      </w:r>
    </w:p>
    <w:p>
      <w:pPr>
        <w:widowControl/>
        <w:adjustRightInd w:val="0"/>
        <w:snapToGrid w:val="0"/>
        <w:ind w:firstLine="420" w:firstLineChars="200"/>
      </w:pPr>
    </w:p>
    <w:p>
      <w:pPr>
        <w:ind w:firstLine="397"/>
        <w:rPr>
          <w:rFonts w:ascii="楷体" w:hAnsi="楷体" w:eastAsia="楷体"/>
        </w:rPr>
      </w:pPr>
      <w:r>
        <w:rPr>
          <w:rFonts w:hint="eastAsia" w:ascii="楷体" w:hAnsi="楷体" w:eastAsia="楷体"/>
        </w:rPr>
        <w:t>原第25条改为：</w:t>
      </w:r>
    </w:p>
    <w:p>
      <w:pPr>
        <w:pStyle w:val="10"/>
        <w:adjustRightInd w:val="0"/>
        <w:snapToGrid w:val="0"/>
        <w:jc w:val="center"/>
        <w:rPr>
          <w:rFonts w:ascii="Times New Roman" w:hAnsi="Times New Roman" w:eastAsia="黑体"/>
          <w:bCs/>
        </w:rPr>
      </w:pPr>
    </w:p>
    <w:p>
      <w:pPr>
        <w:pStyle w:val="10"/>
        <w:adjustRightInd w:val="0"/>
        <w:snapToGrid w:val="0"/>
        <w:jc w:val="center"/>
        <w:outlineLvl w:val="3"/>
        <w:rPr>
          <w:rFonts w:ascii="Times New Roman" w:hAnsi="Times New Roman" w:eastAsia="黑体"/>
          <w:bCs/>
        </w:rPr>
      </w:pPr>
      <w:bookmarkStart w:id="102" w:name="_Toc8976"/>
      <w:r>
        <w:rPr>
          <w:rFonts w:hint="eastAsia" w:asciiTheme="minorHAnsi" w:hAnsiTheme="minorHAnsi" w:cstheme="minorBidi"/>
          <w:szCs w:val="24"/>
        </w:rPr>
        <w:t>“</w:t>
      </w:r>
      <w:r>
        <w:rPr>
          <w:rFonts w:hint="eastAsia" w:ascii="Times New Roman" w:hAnsi="Times New Roman" w:eastAsia="黑体"/>
          <w:bCs/>
        </w:rPr>
        <w:t>第</w:t>
      </w:r>
      <w:r>
        <w:rPr>
          <w:rFonts w:hint="eastAsia" w:ascii="Times New Roman" w:hAnsi="Times New Roman" w:eastAsia="黑体"/>
          <w:b/>
          <w:strike/>
          <w:color w:val="FF0000"/>
        </w:rPr>
        <w:t>25</w:t>
      </w:r>
      <w:r>
        <w:rPr>
          <w:rFonts w:hint="eastAsia" w:ascii="Times New Roman" w:hAnsi="Times New Roman" w:eastAsia="黑体"/>
          <w:b/>
          <w:color w:val="FF0000"/>
          <w:u w:val="single"/>
        </w:rPr>
        <w:t>31</w:t>
      </w:r>
      <w:r>
        <w:rPr>
          <w:rFonts w:hint="eastAsia" w:ascii="Times New Roman" w:hAnsi="Times New Roman" w:eastAsia="黑体"/>
          <w:bCs/>
        </w:rPr>
        <w:t>条 符合性验证</w:t>
      </w:r>
      <w:bookmarkEnd w:id="102"/>
    </w:p>
    <w:p>
      <w:pPr>
        <w:widowControl/>
        <w:adjustRightInd w:val="0"/>
        <w:snapToGrid w:val="0"/>
        <w:ind w:firstLine="422" w:firstLineChars="200"/>
        <w:jc w:val="center"/>
        <w:rPr>
          <w:b/>
        </w:rPr>
      </w:pPr>
    </w:p>
    <w:p>
      <w:pPr>
        <w:pStyle w:val="10"/>
        <w:ind w:firstLine="420"/>
        <w:rPr>
          <w:rFonts w:ascii="Times New Roman" w:hAnsi="Times New Roman"/>
          <w:lang w:bidi="ar"/>
        </w:rPr>
      </w:pPr>
      <w:r>
        <w:rPr>
          <w:rFonts w:hint="eastAsia" w:ascii="Times New Roman" w:hAnsi="Times New Roman"/>
          <w:lang w:bidi="ar"/>
        </w:rPr>
        <w:t>1 每一缔约国均应接受国际海事组织按审核标准进行的定期审核，以验证其是否符合并实施了本附则的要求。</w:t>
      </w:r>
    </w:p>
    <w:p>
      <w:pPr>
        <w:pStyle w:val="10"/>
        <w:ind w:firstLine="420"/>
        <w:rPr>
          <w:rFonts w:ascii="Times New Roman" w:hAnsi="Times New Roman"/>
          <w:lang w:bidi="ar"/>
        </w:rPr>
      </w:pPr>
      <w:r>
        <w:rPr>
          <w:rFonts w:hint="eastAsia" w:ascii="Times New Roman" w:hAnsi="Times New Roman"/>
          <w:lang w:bidi="ar"/>
        </w:rPr>
        <w:t>2 国际海事组织秘书长应基于国际海事组织制定的指南</w:t>
      </w:r>
      <w:r>
        <w:rPr>
          <w:rStyle w:val="33"/>
          <w:rFonts w:hint="eastAsia" w:ascii="Times New Roman" w:hAnsi="Times New Roman"/>
          <w:lang w:bidi="ar"/>
        </w:rPr>
        <w:footnoteReference w:id="43"/>
      </w:r>
      <w:r>
        <w:rPr>
          <w:rFonts w:hint="eastAsia" w:ascii="Times New Roman" w:hAnsi="Times New Roman"/>
          <w:lang w:bidi="ar"/>
        </w:rPr>
        <w:t>，负责对审核机制实施管理。</w:t>
      </w:r>
    </w:p>
    <w:p>
      <w:pPr>
        <w:pStyle w:val="10"/>
        <w:ind w:firstLine="420"/>
        <w:rPr>
          <w:rFonts w:ascii="Times New Roman" w:hAnsi="Times New Roman"/>
          <w:lang w:bidi="ar"/>
        </w:rPr>
      </w:pPr>
      <w:r>
        <w:rPr>
          <w:rFonts w:hint="eastAsia" w:ascii="Times New Roman" w:hAnsi="Times New Roman"/>
          <w:lang w:bidi="ar"/>
        </w:rPr>
        <w:t>3 每一缔约国均应基于国际海事组织制定的指南</w:t>
      </w:r>
      <w:r>
        <w:rPr>
          <w:rFonts w:hint="eastAsia" w:ascii="Times New Roman" w:hAnsi="Times New Roman"/>
          <w:vertAlign w:val="superscript"/>
          <w:lang w:bidi="ar"/>
        </w:rPr>
        <w:t>①</w:t>
      </w:r>
      <w:r>
        <w:rPr>
          <w:rFonts w:hint="eastAsia" w:ascii="Times New Roman" w:hAnsi="Times New Roman"/>
          <w:lang w:bidi="ar"/>
        </w:rPr>
        <w:t>，负责为进行审核提供便利并实施针对审核发现的行动计划。</w:t>
      </w:r>
    </w:p>
    <w:p>
      <w:pPr>
        <w:pStyle w:val="10"/>
        <w:ind w:firstLine="420"/>
        <w:rPr>
          <w:rFonts w:ascii="Times New Roman" w:hAnsi="Times New Roman"/>
          <w:lang w:bidi="ar"/>
        </w:rPr>
      </w:pPr>
      <w:r>
        <w:rPr>
          <w:rFonts w:hint="eastAsia" w:ascii="Times New Roman" w:hAnsi="Times New Roman"/>
          <w:lang w:bidi="ar"/>
        </w:rPr>
        <w:t>4 对所有缔约国的审核均应：</w:t>
      </w:r>
    </w:p>
    <w:p>
      <w:pPr>
        <w:widowControl/>
        <w:adjustRightInd w:val="0"/>
        <w:snapToGrid w:val="0"/>
        <w:ind w:left="426"/>
      </w:pPr>
      <w:r>
        <w:rPr>
          <w:rFonts w:hint="eastAsia"/>
        </w:rPr>
        <w:t xml:space="preserve">   .1  基于国际海事组织秘书长制定的总体计划，并考虑到国际海事组织制定的指南</w:t>
      </w:r>
      <w:r>
        <w:rPr>
          <w:rStyle w:val="33"/>
          <w:rFonts w:hint="eastAsia"/>
        </w:rPr>
        <w:footnoteReference w:id="44"/>
      </w:r>
      <w:r>
        <w:rPr>
          <w:rFonts w:hint="eastAsia"/>
        </w:rPr>
        <w:t>；和</w:t>
      </w:r>
    </w:p>
    <w:p>
      <w:pPr>
        <w:adjustRightInd w:val="0"/>
        <w:snapToGrid w:val="0"/>
      </w:pPr>
      <w:r>
        <w:rPr>
          <w:rFonts w:hint="eastAsia"/>
        </w:rPr>
        <w:t xml:space="preserve">       .2  定期进行，并考虑到国际海事组织制定的指南</w:t>
      </w:r>
      <w:r>
        <w:rPr>
          <w:rFonts w:hint="eastAsia"/>
          <w:vertAlign w:val="superscript"/>
        </w:rPr>
        <w:t>①</w:t>
      </w:r>
      <w:r>
        <w:rPr>
          <w:rFonts w:hint="eastAsia"/>
        </w:rPr>
        <w:t>。”</w:t>
      </w:r>
    </w:p>
    <w:p>
      <w:pPr>
        <w:adjustRightInd w:val="0"/>
        <w:snapToGrid w:val="0"/>
        <w:rPr>
          <w:rFonts w:ascii="楷体" w:hAnsi="楷体" w:eastAsia="楷体" w:cs="楷体"/>
          <w:snapToGrid w:val="0"/>
          <w:color w:val="0000FF"/>
          <w:kern w:val="0"/>
          <w:szCs w:val="21"/>
        </w:rPr>
      </w:pPr>
    </w:p>
    <w:p>
      <w:pPr>
        <w:pStyle w:val="35"/>
        <w:jc w:val="both"/>
        <w:rPr>
          <w:rFonts w:hint="default" w:ascii="Times New Roman" w:hAnsi="Times New Roman" w:eastAsia="宋体" w:cs="Times New Roman"/>
          <w:lang w:bidi="ar"/>
        </w:rPr>
      </w:pPr>
      <w:r>
        <w:rPr>
          <w:rFonts w:ascii="宋体" w:hAnsi="宋体"/>
          <w:sz w:val="24"/>
        </w:rPr>
        <w:br w:type="page"/>
      </w:r>
    </w:p>
    <w:p>
      <w:pPr>
        <w:pStyle w:val="10"/>
        <w:jc w:val="center"/>
        <w:outlineLvl w:val="0"/>
        <w:rPr>
          <w:rFonts w:ascii="Times New Roman" w:hAnsi="Times New Roman" w:eastAsia="黑体" w:cs="Times New Roman"/>
          <w:sz w:val="32"/>
          <w:szCs w:val="32"/>
          <w:lang w:bidi="ar"/>
        </w:rPr>
      </w:pPr>
      <w:bookmarkStart w:id="103" w:name="_Toc25537"/>
      <w:r>
        <w:rPr>
          <w:rFonts w:hint="eastAsia" w:ascii="Times New Roman" w:hAnsi="Times New Roman" w:eastAsia="黑体" w:cs="Times New Roman"/>
          <w:sz w:val="32"/>
          <w:szCs w:val="32"/>
          <w:lang w:bidi="ar"/>
        </w:rPr>
        <w:t>附录II  试验循环和加权因数</w:t>
      </w:r>
      <w:bookmarkEnd w:id="103"/>
    </w:p>
    <w:p>
      <w:pPr>
        <w:pStyle w:val="10"/>
        <w:ind w:left="1108" w:leftChars="330" w:hanging="415" w:hangingChars="198"/>
        <w:jc w:val="center"/>
        <w:rPr>
          <w:rFonts w:ascii="Times New Roman" w:hAnsi="Times New Roman" w:eastAsia="宋体" w:cs="Times New Roman"/>
          <w:lang w:bidi="ar"/>
        </w:rPr>
      </w:pPr>
      <w:r>
        <w:rPr>
          <w:rFonts w:hint="eastAsia" w:ascii="Times New Roman" w:hAnsi="Times New Roman" w:eastAsia="宋体" w:cs="Times New Roman"/>
          <w:lang w:bidi="ar"/>
        </w:rPr>
        <w:t>(第13条)</w:t>
      </w:r>
    </w:p>
    <w:p>
      <w:pPr>
        <w:ind w:firstLine="397"/>
        <w:rPr>
          <w:rFonts w:ascii="楷体" w:hAnsi="楷体" w:eastAsia="楷体"/>
        </w:rPr>
      </w:pPr>
      <w:r>
        <w:rPr>
          <w:rFonts w:hint="eastAsia" w:ascii="楷体" w:hAnsi="楷体" w:eastAsia="楷体"/>
        </w:rPr>
        <w:t>原</w:t>
      </w:r>
      <w:r>
        <w:rPr>
          <w:rFonts w:ascii="楷体" w:hAnsi="楷体" w:eastAsia="楷体"/>
        </w:rPr>
        <w:t>.3</w:t>
      </w:r>
      <w:r>
        <w:rPr>
          <w:rFonts w:hint="eastAsia" w:ascii="楷体" w:hAnsi="楷体" w:eastAsia="楷体"/>
        </w:rPr>
        <w:t>改为：</w:t>
      </w:r>
    </w:p>
    <w:p>
      <w:pPr>
        <w:ind w:firstLine="420" w:firstLineChars="200"/>
        <w:rPr>
          <w:rFonts w:ascii="Times New Roman" w:hAnsi="Times New Roman" w:cs="Times New Roman"/>
        </w:rPr>
      </w:pPr>
      <w:r>
        <w:rPr>
          <w:rFonts w:hint="eastAsia" w:ascii="宋体" w:hAnsi="宋体"/>
        </w:rPr>
        <w:t>“</w:t>
      </w:r>
      <w:r>
        <w:rPr>
          <w:rFonts w:ascii="Times New Roman" w:hAnsi="Times New Roman" w:cs="Times New Roman"/>
        </w:rPr>
        <w:t>.3  对于按推进器</w:t>
      </w:r>
      <w:r>
        <w:rPr>
          <w:rFonts w:ascii="Times New Roman" w:hAnsi="Times New Roman" w:cs="Times New Roman"/>
          <w:strike/>
          <w:color w:val="FF0000"/>
        </w:rPr>
        <w:t>定律</w:t>
      </w:r>
      <w:r>
        <w:rPr>
          <w:rFonts w:ascii="Times New Roman" w:hAnsi="Times New Roman" w:cs="Times New Roman"/>
          <w:color w:val="FF0000"/>
          <w:u w:val="single"/>
        </w:rPr>
        <w:t>特性</w:t>
      </w:r>
      <w:r>
        <w:rPr>
          <w:rFonts w:ascii="Times New Roman" w:hAnsi="Times New Roman" w:cs="Times New Roman"/>
        </w:rPr>
        <w:t>运转的主辅发动机应采用试验循环E3；”</w:t>
      </w:r>
    </w:p>
    <w:p>
      <w:pPr>
        <w:ind w:firstLine="420" w:firstLineChars="200"/>
        <w:rPr>
          <w:rFonts w:ascii="Times New Roman" w:hAnsi="Times New Roman" w:cs="Times New Roman"/>
        </w:rPr>
      </w:pPr>
    </w:p>
    <w:p>
      <w:pPr>
        <w:ind w:firstLine="420" w:firstLineChars="200"/>
        <w:rPr>
          <w:rFonts w:ascii="宋体" w:hAnsi="宋体"/>
        </w:rPr>
      </w:pPr>
      <w:r>
        <w:rPr>
          <w:rFonts w:hint="eastAsia" w:ascii="宋体" w:hAnsi="宋体"/>
        </w:rPr>
        <w:t>原按推进器定律运转的主辅发动机改为：</w:t>
      </w:r>
    </w:p>
    <w:p>
      <w:pPr>
        <w:ind w:firstLine="420" w:firstLineChars="200"/>
        <w:rPr>
          <w:rFonts w:ascii="宋体" w:hAnsi="宋体"/>
        </w:rPr>
      </w:pPr>
      <w:r>
        <w:rPr>
          <w:rFonts w:hint="eastAsia" w:ascii="宋体" w:hAnsi="宋体"/>
        </w:rPr>
        <w:t>““按推进器</w:t>
      </w:r>
      <w:r>
        <w:rPr>
          <w:rFonts w:hint="eastAsia" w:ascii="宋体" w:hAnsi="宋体"/>
          <w:strike/>
          <w:color w:val="FF0000"/>
        </w:rPr>
        <w:t>定律</w:t>
      </w:r>
      <w:r>
        <w:rPr>
          <w:rFonts w:hint="eastAsia" w:ascii="宋体" w:hAnsi="宋体"/>
          <w:color w:val="FF0000"/>
          <w:u w:val="single"/>
        </w:rPr>
        <w:t>特性</w:t>
      </w:r>
      <w:r>
        <w:rPr>
          <w:rFonts w:hint="eastAsia" w:ascii="宋体" w:hAnsi="宋体"/>
        </w:rPr>
        <w:t>运转的主辅发动机”应用的试验循环”</w:t>
      </w:r>
    </w:p>
    <w:p>
      <w:pPr>
        <w:ind w:firstLine="420" w:firstLineChars="200"/>
        <w:rPr>
          <w:rFonts w:ascii="宋体" w:hAnsi="宋体"/>
        </w:rPr>
      </w:pPr>
    </w:p>
    <w:p>
      <w:pPr>
        <w:spacing w:line="440" w:lineRule="exact"/>
        <w:rPr>
          <w:rFonts w:ascii="宋体" w:hAnsi="宋体"/>
          <w:b/>
        </w:rPr>
      </w:pPr>
    </w:p>
    <w:p>
      <w:pPr>
        <w:pStyle w:val="10"/>
        <w:jc w:val="center"/>
        <w:outlineLvl w:val="0"/>
        <w:rPr>
          <w:rFonts w:ascii="Times New Roman" w:hAnsi="Times New Roman" w:eastAsia="黑体" w:cs="Times New Roman"/>
          <w:sz w:val="32"/>
          <w:szCs w:val="32"/>
          <w:lang w:bidi="ar"/>
        </w:rPr>
      </w:pPr>
      <w:bookmarkStart w:id="104" w:name="_Toc30992"/>
      <w:r>
        <w:rPr>
          <w:rFonts w:hint="eastAsia" w:ascii="Times New Roman" w:hAnsi="Times New Roman" w:eastAsia="黑体" w:cs="Times New Roman"/>
          <w:sz w:val="32"/>
          <w:szCs w:val="32"/>
          <w:lang w:bidi="ar"/>
        </w:rPr>
        <w:t>附录IV  船上焚烧炉的型式认可和操作限制</w:t>
      </w:r>
      <w:bookmarkEnd w:id="104"/>
    </w:p>
    <w:p>
      <w:pPr>
        <w:pStyle w:val="10"/>
        <w:ind w:left="1108" w:leftChars="330" w:hanging="415" w:hangingChars="198"/>
        <w:jc w:val="center"/>
        <w:rPr>
          <w:rFonts w:ascii="Times New Roman" w:hAnsi="Times New Roman" w:eastAsia="宋体" w:cs="Times New Roman"/>
          <w:lang w:bidi="ar"/>
        </w:rPr>
      </w:pPr>
      <w:r>
        <w:rPr>
          <w:rFonts w:hint="eastAsia" w:ascii="Times New Roman" w:hAnsi="Times New Roman" w:eastAsia="宋体" w:cs="Times New Roman"/>
          <w:lang w:bidi="ar"/>
        </w:rPr>
        <w:t>(第16条)</w:t>
      </w:r>
    </w:p>
    <w:p>
      <w:pPr>
        <w:ind w:firstLine="480" w:firstLineChars="200"/>
        <w:rPr>
          <w:rFonts w:ascii="宋体" w:hAnsi="宋体"/>
          <w:sz w:val="24"/>
        </w:rPr>
      </w:pPr>
    </w:p>
    <w:p>
      <w:pPr>
        <w:ind w:firstLine="397"/>
        <w:rPr>
          <w:rFonts w:ascii="楷体" w:hAnsi="楷体" w:eastAsia="楷体"/>
        </w:rPr>
      </w:pPr>
      <w:r>
        <w:rPr>
          <w:rFonts w:hint="eastAsia" w:ascii="楷体" w:hAnsi="楷体" w:eastAsia="楷体"/>
        </w:rPr>
        <w:t>原</w:t>
      </w:r>
      <w:r>
        <w:rPr>
          <w:rFonts w:ascii="楷体" w:hAnsi="楷体" w:eastAsia="楷体"/>
        </w:rPr>
        <w:t>2</w:t>
      </w:r>
      <w:r>
        <w:rPr>
          <w:rFonts w:hint="eastAsia" w:ascii="楷体" w:hAnsi="楷体" w:eastAsia="楷体"/>
        </w:rPr>
        <w:t>改为：</w:t>
      </w:r>
    </w:p>
    <w:p>
      <w:pPr>
        <w:ind w:firstLine="315" w:firstLineChars="150"/>
        <w:rPr>
          <w:rFonts w:ascii="Times New Roman" w:hAnsi="Times New Roman" w:cs="Times New Roman"/>
        </w:rPr>
      </w:pPr>
      <w:r>
        <w:rPr>
          <w:rFonts w:hint="eastAsia" w:ascii="宋体" w:hAnsi="宋体"/>
        </w:rPr>
        <w:t>“</w:t>
      </w:r>
      <w:r>
        <w:rPr>
          <w:rFonts w:ascii="Times New Roman" w:hAnsi="Times New Roman" w:cs="Times New Roman"/>
        </w:rPr>
        <w:t>2  第16.6.1条所述的焚烧炉应在下列限制内运转：</w:t>
      </w:r>
    </w:p>
    <w:p>
      <w:pPr>
        <w:ind w:firstLine="840" w:firstLineChars="400"/>
        <w:rPr>
          <w:rFonts w:ascii="Times New Roman" w:hAnsi="Times New Roman" w:cs="Times New Roman"/>
        </w:rPr>
      </w:pPr>
      <w:r>
        <w:rPr>
          <w:rFonts w:ascii="Times New Roman" w:hAnsi="Times New Roman" w:cs="Times New Roman"/>
        </w:rPr>
        <w:t>燃烧室中的氧气：                           6%～12%</w:t>
      </w:r>
    </w:p>
    <w:p>
      <w:pPr>
        <w:ind w:firstLine="840" w:firstLineChars="400"/>
        <w:rPr>
          <w:rFonts w:ascii="Times New Roman" w:hAnsi="Times New Roman" w:cs="Times New Roman"/>
        </w:rPr>
      </w:pPr>
      <w:r>
        <w:rPr>
          <w:rFonts w:ascii="Times New Roman" w:hAnsi="Times New Roman" w:cs="Times New Roman"/>
        </w:rPr>
        <w:t>烟气中一氧化碳的最大平均值：               200 mg/MJ</w:t>
      </w:r>
    </w:p>
    <w:p>
      <w:pPr>
        <w:ind w:firstLine="840" w:firstLineChars="400"/>
        <w:rPr>
          <w:rFonts w:ascii="Times New Roman" w:hAnsi="Times New Roman" w:cs="Times New Roman"/>
        </w:rPr>
      </w:pPr>
      <w:r>
        <w:rPr>
          <w:rFonts w:ascii="Times New Roman" w:hAnsi="Times New Roman" w:cs="Times New Roman"/>
        </w:rPr>
        <w:t>烟</w:t>
      </w:r>
      <w:r>
        <w:rPr>
          <w:rFonts w:ascii="Times New Roman" w:hAnsi="Times New Roman" w:cs="Times New Roman"/>
          <w:strike/>
          <w:color w:val="FF0000"/>
        </w:rPr>
        <w:t>灰数</w:t>
      </w:r>
      <w:r>
        <w:rPr>
          <w:rFonts w:ascii="Times New Roman" w:hAnsi="Times New Roman" w:cs="Times New Roman"/>
          <w:color w:val="FF0000"/>
          <w:u w:val="single"/>
        </w:rPr>
        <w:t>度</w:t>
      </w:r>
      <w:r>
        <w:rPr>
          <w:rFonts w:ascii="Times New Roman" w:hAnsi="Times New Roman" w:cs="Times New Roman"/>
        </w:rPr>
        <w:t>的最大平均值：                     Bacharach 3或</w:t>
      </w:r>
    </w:p>
    <w:p>
      <w:pPr>
        <w:ind w:firstLine="420" w:firstLineChars="200"/>
        <w:rPr>
          <w:rFonts w:ascii="Times New Roman" w:hAnsi="Times New Roman" w:cs="Times New Roman"/>
        </w:rPr>
      </w:pPr>
      <w:r>
        <w:rPr>
          <w:rFonts w:ascii="Times New Roman" w:hAnsi="Times New Roman" w:cs="Times New Roman"/>
        </w:rPr>
        <w:t xml:space="preserve">                                               Ringelman 1 (20%</w:t>
      </w:r>
      <w:r>
        <w:rPr>
          <w:rFonts w:ascii="Times New Roman" w:hAnsi="Times New Roman" w:cs="Times New Roman"/>
          <w:strike/>
          <w:color w:val="FF0000"/>
        </w:rPr>
        <w:t>浑浊度</w:t>
      </w:r>
      <w:r>
        <w:rPr>
          <w:rFonts w:ascii="Times New Roman" w:hAnsi="Times New Roman" w:cs="Times New Roman"/>
          <w:color w:val="FF0000"/>
          <w:u w:val="single"/>
        </w:rPr>
        <w:t>不透光度</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(只有在非常短的时间内如起动时，</w:t>
      </w:r>
    </w:p>
    <w:p>
      <w:pPr>
        <w:ind w:firstLine="420" w:firstLineChars="200"/>
        <w:rPr>
          <w:rFonts w:ascii="Times New Roman" w:hAnsi="Times New Roman" w:cs="Times New Roman"/>
        </w:rPr>
      </w:pPr>
      <w:r>
        <w:rPr>
          <w:rFonts w:ascii="Times New Roman" w:hAnsi="Times New Roman" w:cs="Times New Roman"/>
        </w:rPr>
        <w:t xml:space="preserve">                                               才能接受更高的烟</w:t>
      </w:r>
      <w:r>
        <w:rPr>
          <w:rFonts w:ascii="Times New Roman" w:hAnsi="Times New Roman" w:cs="Times New Roman"/>
          <w:strike/>
          <w:color w:val="FF0000"/>
        </w:rPr>
        <w:t>灰数</w:t>
      </w:r>
      <w:r>
        <w:rPr>
          <w:rFonts w:ascii="Times New Roman" w:hAnsi="Times New Roman" w:cs="Times New Roman"/>
          <w:color w:val="FF0000"/>
          <w:u w:val="single"/>
        </w:rPr>
        <w:t>度</w:t>
      </w:r>
      <w:r>
        <w:rPr>
          <w:rFonts w:ascii="Times New Roman" w:hAnsi="Times New Roman" w:cs="Times New Roman"/>
        </w:rPr>
        <w:t>)</w:t>
      </w:r>
    </w:p>
    <w:p>
      <w:pPr>
        <w:ind w:firstLine="840" w:firstLineChars="400"/>
        <w:rPr>
          <w:rFonts w:ascii="Times New Roman" w:hAnsi="Times New Roman" w:cs="Times New Roman"/>
        </w:rPr>
      </w:pPr>
      <w:r>
        <w:rPr>
          <w:rFonts w:ascii="Times New Roman" w:hAnsi="Times New Roman" w:cs="Times New Roman"/>
        </w:rPr>
        <w:t>灰渣的不燃成分最大10%，按重量计</w:t>
      </w:r>
    </w:p>
    <w:p>
      <w:pPr>
        <w:ind w:firstLine="840" w:firstLineChars="400"/>
        <w:rPr>
          <w:rFonts w:ascii="楷体" w:hAnsi="楷体" w:eastAsia="楷体" w:cs="楷体"/>
          <w:snapToGrid w:val="0"/>
          <w:color w:val="0000FF"/>
          <w:kern w:val="0"/>
          <w:szCs w:val="21"/>
        </w:rPr>
      </w:pPr>
      <w:r>
        <w:rPr>
          <w:rFonts w:ascii="Times New Roman" w:hAnsi="Times New Roman" w:cs="Times New Roman"/>
        </w:rPr>
        <w:t>燃烧室烟气出口的温度范围：                 850℃～1200℃</w:t>
      </w:r>
      <w:r>
        <w:rPr>
          <w:rFonts w:hint="eastAsia" w:ascii="宋体" w:hAnsi="宋体"/>
        </w:rPr>
        <w:t>”</w:t>
      </w:r>
    </w:p>
    <w:p>
      <w:pPr>
        <w:ind w:firstLine="420" w:firstLineChars="200"/>
        <w:rPr>
          <w:rFonts w:ascii="楷体" w:hAnsi="楷体" w:eastAsia="楷体" w:cs="楷体"/>
          <w:snapToGrid w:val="0"/>
          <w:color w:val="0000FF"/>
          <w:kern w:val="0"/>
          <w:szCs w:val="21"/>
        </w:rPr>
      </w:pPr>
    </w:p>
    <w:p>
      <w:pPr>
        <w:rPr>
          <w:rFonts w:ascii="宋体" w:hAnsi="宋体"/>
        </w:rPr>
      </w:pPr>
    </w:p>
    <w:p>
      <w:pPr>
        <w:ind w:firstLine="397"/>
        <w:rPr>
          <w:rFonts w:ascii="楷体" w:hAnsi="楷体" w:eastAsia="楷体"/>
        </w:rPr>
      </w:pPr>
      <w:r>
        <w:rPr>
          <w:rFonts w:hint="eastAsia" w:ascii="楷体" w:hAnsi="楷体" w:eastAsia="楷体"/>
        </w:rPr>
        <w:t>原附录VI改为：</w:t>
      </w:r>
    </w:p>
    <w:p>
      <w:pPr>
        <w:pStyle w:val="10"/>
        <w:jc w:val="center"/>
        <w:outlineLvl w:val="0"/>
        <w:rPr>
          <w:rFonts w:ascii="Times New Roman" w:hAnsi="Times New Roman" w:eastAsia="黑体" w:cs="Times New Roman"/>
          <w:sz w:val="32"/>
          <w:szCs w:val="32"/>
          <w:lang w:bidi="ar"/>
        </w:rPr>
      </w:pPr>
      <w:bookmarkStart w:id="105" w:name="_Toc27819"/>
      <w:r>
        <w:rPr>
          <w:rFonts w:hint="eastAsia" w:hAnsi="宋体"/>
        </w:rPr>
        <w:t>“</w:t>
      </w:r>
      <w:r>
        <w:rPr>
          <w:rFonts w:hint="eastAsia" w:ascii="Times New Roman" w:hAnsi="Times New Roman" w:eastAsia="黑体" w:cs="Times New Roman"/>
          <w:sz w:val="32"/>
          <w:szCs w:val="32"/>
          <w:lang w:bidi="ar"/>
        </w:rPr>
        <w:t>附录</w:t>
      </w:r>
      <w:r>
        <w:rPr>
          <w:rFonts w:ascii="Times New Roman" w:hAnsi="Times New Roman" w:eastAsia="黑体" w:cs="Times New Roman"/>
          <w:sz w:val="32"/>
          <w:szCs w:val="32"/>
          <w:lang w:bidi="ar"/>
        </w:rPr>
        <w:t>VI</w:t>
      </w:r>
      <w:r>
        <w:rPr>
          <w:rFonts w:hint="eastAsia" w:ascii="Times New Roman" w:hAnsi="Times New Roman" w:eastAsia="黑体" w:cs="Times New Roman"/>
          <w:sz w:val="32"/>
          <w:szCs w:val="32"/>
          <w:lang w:bidi="ar"/>
        </w:rPr>
        <w:t xml:space="preserve">  </w:t>
      </w:r>
      <w:r>
        <w:rPr>
          <w:rFonts w:ascii="Times New Roman" w:hAnsi="Times New Roman" w:eastAsia="黑体" w:cs="Times New Roman"/>
          <w:sz w:val="32"/>
          <w:szCs w:val="32"/>
          <w:lang w:bidi="ar"/>
        </w:rPr>
        <w:t>MARPOL附则VI燃油样品的燃油验证程序</w:t>
      </w:r>
      <w:bookmarkEnd w:id="105"/>
    </w:p>
    <w:p>
      <w:pPr>
        <w:pStyle w:val="10"/>
        <w:jc w:val="center"/>
        <w:rPr>
          <w:rFonts w:ascii="Times New Roman" w:hAnsi="Times New Roman" w:eastAsia="黑体"/>
          <w:lang w:bidi="ar"/>
        </w:rPr>
      </w:pPr>
      <w:r>
        <w:rPr>
          <w:rFonts w:hint="eastAsia" w:ascii="Times New Roman" w:hAnsi="Times New Roman" w:eastAsia="黑体"/>
          <w:lang w:bidi="ar"/>
        </w:rPr>
        <w:t>（第</w:t>
      </w:r>
      <w:r>
        <w:rPr>
          <w:rFonts w:ascii="Times New Roman" w:hAnsi="Times New Roman" w:eastAsia="黑体"/>
          <w:lang w:bidi="ar"/>
        </w:rPr>
        <w:t>18.8.2</w:t>
      </w:r>
      <w:r>
        <w:rPr>
          <w:rFonts w:hint="eastAsia" w:ascii="Times New Roman" w:hAnsi="Times New Roman" w:eastAsia="黑体"/>
          <w:lang w:bidi="ar"/>
        </w:rPr>
        <w:t>条</w:t>
      </w:r>
      <w:r>
        <w:rPr>
          <w:rFonts w:hint="eastAsia" w:ascii="Times New Roman" w:hAnsi="Times New Roman" w:eastAsia="黑体"/>
          <w:color w:val="FF0000"/>
          <w:u w:val="single"/>
          <w:lang w:bidi="ar"/>
        </w:rPr>
        <w:t>或14.8条</w:t>
      </w:r>
      <w:r>
        <w:rPr>
          <w:rFonts w:hint="eastAsia" w:ascii="Times New Roman" w:hAnsi="Times New Roman" w:eastAsia="黑体"/>
          <w:lang w:bidi="ar"/>
        </w:rPr>
        <w:t>）</w:t>
      </w:r>
      <w:r>
        <w:rPr>
          <w:rFonts w:hint="eastAsia" w:hAnsi="宋体"/>
        </w:rPr>
        <w:t>”</w:t>
      </w:r>
    </w:p>
    <w:p>
      <w:pPr>
        <w:rPr>
          <w:rFonts w:ascii="宋体" w:hAnsi="宋体"/>
        </w:rPr>
      </w:pPr>
      <w:r>
        <w:rPr>
          <w:rFonts w:hint="eastAsia" w:ascii="楷体" w:hAnsi="楷体" w:eastAsia="楷体"/>
        </w:rPr>
        <w:t>删除</w:t>
      </w:r>
      <w:r>
        <w:rPr>
          <w:rFonts w:ascii="Times New Roman" w:hAnsi="Times New Roman" w:cs="Times New Roman"/>
        </w:rPr>
        <w:t>1~3</w:t>
      </w:r>
      <w:r>
        <w:rPr>
          <w:rFonts w:hint="eastAsia" w:ascii="宋体" w:hAnsi="宋体"/>
        </w:rPr>
        <w:t>。</w:t>
      </w:r>
    </w:p>
    <w:p>
      <w:pPr>
        <w:rPr>
          <w:rFonts w:ascii="宋体" w:hAnsi="宋体"/>
        </w:rPr>
      </w:pPr>
    </w:p>
    <w:p>
      <w:pPr>
        <w:rPr>
          <w:rFonts w:ascii="宋体" w:hAnsi="宋体"/>
        </w:rPr>
      </w:pPr>
      <w:r>
        <w:rPr>
          <w:rFonts w:hint="eastAsia" w:ascii="楷体" w:hAnsi="楷体" w:eastAsia="楷体"/>
        </w:rPr>
        <w:t>新增</w:t>
      </w:r>
      <w:r>
        <w:rPr>
          <w:rFonts w:ascii="Times New Roman" w:hAnsi="Times New Roman" w:cs="Times New Roman"/>
        </w:rPr>
        <w:t>1~4</w:t>
      </w:r>
      <w:r>
        <w:rPr>
          <w:rFonts w:hint="eastAsia" w:ascii="楷体" w:hAnsi="楷体" w:eastAsia="楷体"/>
        </w:rPr>
        <w:t>如下：</w:t>
      </w:r>
    </w:p>
    <w:p>
      <w:pPr>
        <w:autoSpaceDE w:val="0"/>
        <w:autoSpaceDN w:val="0"/>
        <w:adjustRightInd w:val="0"/>
        <w:snapToGrid w:val="0"/>
        <w:ind w:firstLine="424" w:firstLineChars="202"/>
        <w:rPr>
          <w:rFonts w:ascii="宋体" w:cs="宋体"/>
          <w:color w:val="FF0000"/>
          <w:kern w:val="0"/>
          <w:szCs w:val="21"/>
          <w:u w:val="single"/>
        </w:rPr>
      </w:pPr>
      <w:r>
        <w:rPr>
          <w:rFonts w:hint="eastAsia" w:ascii="宋体" w:hAnsi="宋体"/>
        </w:rPr>
        <w:t>“</w:t>
      </w:r>
      <w:r>
        <w:rPr>
          <w:rFonts w:hint="eastAsia" w:ascii="宋体" w:cs="宋体"/>
          <w:color w:val="FF0000"/>
          <w:kern w:val="0"/>
          <w:szCs w:val="21"/>
          <w:u w:val="single"/>
        </w:rPr>
        <w:t>应使用下列相关验证程序判定交付至船上、在用或船上为使用而载运的燃油是否符合本附则第</w:t>
      </w:r>
      <w:r>
        <w:rPr>
          <w:rFonts w:ascii="TimesNewRomanPSMT" w:hAnsi="TimesNewRomanPSMT" w:cs="TimesNewRomanPSMT"/>
          <w:color w:val="FF0000"/>
          <w:kern w:val="0"/>
          <w:szCs w:val="21"/>
          <w:u w:val="single"/>
        </w:rPr>
        <w:t>14</w:t>
      </w:r>
      <w:r>
        <w:rPr>
          <w:rFonts w:hint="eastAsia" w:ascii="宋体" w:cs="宋体"/>
          <w:color w:val="FF0000"/>
          <w:kern w:val="0"/>
          <w:szCs w:val="21"/>
          <w:u w:val="single"/>
        </w:rPr>
        <w:t>条适用的硫含量限值。</w:t>
      </w:r>
    </w:p>
    <w:p>
      <w:pPr>
        <w:autoSpaceDE w:val="0"/>
        <w:autoSpaceDN w:val="0"/>
        <w:adjustRightInd w:val="0"/>
        <w:snapToGrid w:val="0"/>
        <w:ind w:firstLine="424" w:firstLineChars="202"/>
        <w:rPr>
          <w:rFonts w:ascii="TimesNewRomanPSMT" w:hAnsi="TimesNewRomanPSMT" w:cs="TimesNewRomanPSMT"/>
          <w:color w:val="FF0000"/>
          <w:kern w:val="0"/>
          <w:szCs w:val="21"/>
          <w:u w:val="single"/>
        </w:rPr>
      </w:pPr>
      <w:r>
        <w:rPr>
          <w:rFonts w:hint="eastAsia" w:ascii="宋体" w:cs="宋体"/>
          <w:color w:val="FF0000"/>
          <w:kern w:val="0"/>
          <w:szCs w:val="21"/>
          <w:u w:val="single"/>
        </w:rPr>
        <w:t>本附录涉及下列代表性</w:t>
      </w:r>
      <w:r>
        <w:rPr>
          <w:rFonts w:hint="eastAsia" w:ascii="TimesNewRomanPSMT" w:hAnsi="TimesNewRomanPSMT" w:cs="TimesNewRomanPSMT"/>
          <w:color w:val="FF0000"/>
          <w:kern w:val="0"/>
          <w:szCs w:val="21"/>
          <w:u w:val="single"/>
        </w:rPr>
        <w:t>MARPOL附则VI燃油样本：</w:t>
      </w:r>
    </w:p>
    <w:p>
      <w:pPr>
        <w:autoSpaceDE w:val="0"/>
        <w:autoSpaceDN w:val="0"/>
        <w:adjustRightInd w:val="0"/>
        <w:snapToGrid w:val="0"/>
        <w:ind w:firstLine="424" w:firstLineChars="202"/>
        <w:rPr>
          <w:rFonts w:ascii="TimesNewRomanPSMT" w:hAnsi="TimesNewRomanPSMT" w:cs="TimesNewRomanPSMT"/>
          <w:color w:val="FF0000"/>
          <w:kern w:val="0"/>
          <w:szCs w:val="21"/>
          <w:u w:val="single"/>
        </w:rPr>
      </w:pPr>
      <w:r>
        <w:rPr>
          <w:rFonts w:hint="eastAsia" w:ascii="宋体" w:cs="宋体"/>
          <w:color w:val="FF0000"/>
          <w:kern w:val="0"/>
          <w:szCs w:val="21"/>
          <w:u w:val="single"/>
        </w:rPr>
        <w:t>第</w:t>
      </w:r>
      <w:r>
        <w:rPr>
          <w:rFonts w:hint="eastAsia" w:ascii="TimesNewRomanPSMT" w:hAnsi="TimesNewRomanPSMT" w:cs="TimesNewRomanPSMT"/>
          <w:color w:val="FF0000"/>
          <w:kern w:val="0"/>
          <w:szCs w:val="21"/>
          <w:u w:val="single"/>
        </w:rPr>
        <w:t>1部分</w:t>
      </w:r>
      <w:r>
        <w:rPr>
          <w:rFonts w:ascii="TimesNewRomanPSMT" w:hAnsi="TimesNewRomanPSMT" w:cs="TimesNewRomanPSMT"/>
          <w:color w:val="FF0000"/>
          <w:kern w:val="0"/>
          <w:szCs w:val="21"/>
          <w:u w:val="single"/>
        </w:rPr>
        <w:t>—</w:t>
      </w:r>
      <w:r>
        <w:rPr>
          <w:rFonts w:hint="eastAsia" w:ascii="TimesNewRomanPSMT" w:hAnsi="TimesNewRomanPSMT" w:cs="TimesNewRomanPSMT"/>
          <w:color w:val="FF0000"/>
          <w:kern w:val="0"/>
          <w:szCs w:val="21"/>
          <w:u w:val="single"/>
        </w:rPr>
        <w:t>按第18.8.1条交付的燃油样本</w:t>
      </w:r>
      <w:r>
        <w:rPr>
          <w:rStyle w:val="33"/>
          <w:rFonts w:hint="eastAsia" w:ascii="TimesNewRomanPSMT" w:hAnsi="TimesNewRomanPSMT" w:cs="TimesNewRomanPSMT"/>
          <w:color w:val="FF0000"/>
          <w:kern w:val="0"/>
          <w:szCs w:val="21"/>
          <w:u w:val="single"/>
        </w:rPr>
        <w:footnoteReference w:id="45"/>
      </w:r>
      <w:r>
        <w:rPr>
          <w:rFonts w:hint="eastAsia" w:ascii="TimesNewRomanPSMT" w:hAnsi="TimesNewRomanPSMT" w:cs="TimesNewRomanPSMT"/>
          <w:color w:val="FF0000"/>
          <w:kern w:val="0"/>
          <w:szCs w:val="21"/>
          <w:u w:val="single"/>
        </w:rPr>
        <w:t>，以下简称“MARPOL交付样本”，定义见第2.54条。</w:t>
      </w:r>
    </w:p>
    <w:p>
      <w:pPr>
        <w:autoSpaceDE w:val="0"/>
        <w:autoSpaceDN w:val="0"/>
        <w:adjustRightInd w:val="0"/>
        <w:snapToGrid w:val="0"/>
        <w:ind w:firstLine="424" w:firstLineChars="202"/>
        <w:rPr>
          <w:rFonts w:ascii="TimesNewRomanPSMT" w:hAnsi="TimesNewRomanPSMT" w:cs="TimesNewRomanPSMT"/>
          <w:color w:val="FF0000"/>
          <w:kern w:val="0"/>
          <w:szCs w:val="21"/>
        </w:rPr>
      </w:pPr>
      <w:r>
        <w:rPr>
          <w:rFonts w:hint="eastAsia" w:ascii="TimesNewRomanPSMT" w:hAnsi="TimesNewRomanPSMT" w:cs="TimesNewRomanPSMT"/>
          <w:color w:val="FF0000"/>
          <w:kern w:val="0"/>
          <w:szCs w:val="21"/>
          <w:u w:val="single"/>
        </w:rPr>
        <w:t>第2部分</w:t>
      </w:r>
      <w:r>
        <w:rPr>
          <w:rFonts w:ascii="TimesNewRomanPSMT" w:hAnsi="TimesNewRomanPSMT" w:cs="TimesNewRomanPSMT"/>
          <w:color w:val="FF0000"/>
          <w:kern w:val="0"/>
          <w:szCs w:val="21"/>
          <w:u w:val="single"/>
        </w:rPr>
        <w:t>—</w:t>
      </w:r>
      <w:r>
        <w:rPr>
          <w:rFonts w:hint="eastAsia" w:ascii="TimesNewRomanPSMT" w:hAnsi="TimesNewRomanPSMT" w:cs="TimesNewRomanPSMT"/>
          <w:color w:val="FF0000"/>
          <w:kern w:val="0"/>
          <w:szCs w:val="21"/>
          <w:u w:val="single"/>
        </w:rPr>
        <w:t>按第14.8条在用</w:t>
      </w:r>
      <w:r>
        <w:rPr>
          <w:rStyle w:val="33"/>
          <w:rFonts w:hint="eastAsia" w:ascii="TimesNewRomanPSMT" w:hAnsi="TimesNewRomanPSMT" w:cs="TimesNewRomanPSMT"/>
          <w:color w:val="FF0000"/>
          <w:kern w:val="0"/>
          <w:szCs w:val="21"/>
          <w:u w:val="single"/>
        </w:rPr>
        <w:footnoteReference w:id="46"/>
      </w:r>
      <w:r>
        <w:rPr>
          <w:rFonts w:hint="eastAsia" w:ascii="TimesNewRomanPSMT" w:hAnsi="TimesNewRomanPSMT" w:cs="TimesNewRomanPSMT"/>
          <w:color w:val="FF0000"/>
          <w:kern w:val="0"/>
          <w:szCs w:val="21"/>
          <w:u w:val="single"/>
        </w:rPr>
        <w:t>、船上拟使用或为使用而载运的燃油样本，以下简称“在用样本”（定义见第2.55条）和“船上样本”</w:t>
      </w:r>
      <w:r>
        <w:rPr>
          <w:rStyle w:val="33"/>
          <w:rFonts w:hint="eastAsia" w:ascii="TimesNewRomanPSMT" w:hAnsi="TimesNewRomanPSMT" w:cs="TimesNewRomanPSMT"/>
          <w:color w:val="FF0000"/>
          <w:kern w:val="0"/>
          <w:szCs w:val="21"/>
          <w:u w:val="single"/>
        </w:rPr>
        <w:footnoteReference w:id="47"/>
      </w:r>
      <w:r>
        <w:rPr>
          <w:rFonts w:hint="eastAsia" w:ascii="TimesNewRomanPSMT" w:hAnsi="TimesNewRomanPSMT" w:cs="TimesNewRomanPSMT"/>
          <w:color w:val="FF0000"/>
          <w:kern w:val="0"/>
          <w:szCs w:val="21"/>
          <w:u w:val="single"/>
        </w:rPr>
        <w:t>（定义见第2.56条）。</w:t>
      </w:r>
    </w:p>
    <w:p>
      <w:pPr>
        <w:autoSpaceDE w:val="0"/>
        <w:autoSpaceDN w:val="0"/>
        <w:adjustRightInd w:val="0"/>
        <w:snapToGrid w:val="0"/>
        <w:ind w:firstLine="426" w:firstLineChars="202"/>
        <w:rPr>
          <w:rFonts w:ascii="宋体" w:cs="宋体"/>
          <w:b/>
          <w:color w:val="FF0000"/>
          <w:kern w:val="0"/>
          <w:szCs w:val="21"/>
        </w:rPr>
      </w:pPr>
    </w:p>
    <w:p>
      <w:pPr>
        <w:autoSpaceDE w:val="0"/>
        <w:autoSpaceDN w:val="0"/>
        <w:adjustRightInd w:val="0"/>
        <w:snapToGrid w:val="0"/>
        <w:ind w:firstLine="426" w:firstLineChars="202"/>
        <w:rPr>
          <w:rFonts w:ascii="TimesNewRomanPSMT" w:hAnsi="TimesNewRomanPSMT" w:cs="TimesNewRomanPSMT"/>
          <w:b/>
          <w:color w:val="FF0000"/>
          <w:kern w:val="0"/>
          <w:szCs w:val="21"/>
          <w:u w:val="single"/>
        </w:rPr>
      </w:pPr>
      <w:r>
        <w:rPr>
          <w:rFonts w:hint="eastAsia" w:ascii="宋体" w:cs="宋体"/>
          <w:b/>
          <w:color w:val="FF0000"/>
          <w:kern w:val="0"/>
          <w:szCs w:val="21"/>
          <w:u w:val="single"/>
        </w:rPr>
        <w:t>第</w:t>
      </w:r>
      <w:r>
        <w:rPr>
          <w:rFonts w:hint="eastAsia" w:ascii="TimesNewRomanPSMT" w:hAnsi="TimesNewRomanPSMT" w:cs="TimesNewRomanPSMT"/>
          <w:b/>
          <w:color w:val="FF0000"/>
          <w:kern w:val="0"/>
          <w:szCs w:val="21"/>
          <w:u w:val="single"/>
        </w:rPr>
        <w:t>1部分</w:t>
      </w:r>
      <w:r>
        <w:rPr>
          <w:rFonts w:ascii="TimesNewRomanPSMT" w:hAnsi="TimesNewRomanPSMT" w:cs="TimesNewRomanPSMT"/>
          <w:b/>
          <w:color w:val="FF0000"/>
          <w:kern w:val="0"/>
          <w:szCs w:val="21"/>
          <w:u w:val="single"/>
        </w:rPr>
        <w:t>—</w:t>
      </w:r>
      <w:r>
        <w:rPr>
          <w:rFonts w:hint="eastAsia" w:ascii="TimesNewRomanPSMT" w:hAnsi="TimesNewRomanPSMT" w:cs="TimesNewRomanPSMT"/>
          <w:b/>
          <w:color w:val="FF0000"/>
          <w:kern w:val="0"/>
          <w:szCs w:val="21"/>
          <w:u w:val="single"/>
        </w:rPr>
        <w:t>MARPOL交付样本</w:t>
      </w:r>
    </w:p>
    <w:p>
      <w:pPr>
        <w:autoSpaceDE w:val="0"/>
        <w:autoSpaceDN w:val="0"/>
        <w:adjustRightInd w:val="0"/>
        <w:snapToGrid w:val="0"/>
        <w:ind w:firstLine="424" w:firstLineChars="202"/>
        <w:rPr>
          <w:rFonts w:ascii="TimesNewRomanPSMT" w:hAnsi="TimesNewRomanPSMT" w:cs="TimesNewRomanPSMT"/>
          <w:color w:val="FF0000"/>
          <w:kern w:val="0"/>
          <w:szCs w:val="21"/>
          <w:u w:val="single"/>
        </w:rPr>
      </w:pPr>
      <w:r>
        <w:rPr>
          <w:rFonts w:ascii="TimesNewRomanPSMT" w:hAnsi="TimesNewRomanPSMT" w:cs="TimesNewRomanPSMT"/>
          <w:color w:val="FF0000"/>
          <w:kern w:val="0"/>
          <w:szCs w:val="21"/>
          <w:u w:val="single"/>
        </w:rPr>
        <w:t xml:space="preserve">1 </w:t>
      </w:r>
      <w:r>
        <w:rPr>
          <w:rFonts w:hint="eastAsia" w:ascii="TimesNewRomanPSMT" w:hAnsi="TimesNewRomanPSMT" w:cs="TimesNewRomanPSMT"/>
          <w:color w:val="FF0000"/>
          <w:kern w:val="0"/>
          <w:szCs w:val="21"/>
          <w:u w:val="single"/>
        </w:rPr>
        <w:t xml:space="preserve"> 一般要求</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1.1 </w:t>
      </w:r>
      <w:r>
        <w:rPr>
          <w:rFonts w:hint="eastAsia" w:ascii="TimesNewRomanPSMT" w:hAnsi="TimesNewRomanPSMT" w:cs="TimesNewRomanPSMT"/>
          <w:kern w:val="0"/>
          <w:szCs w:val="21"/>
        </w:rPr>
        <w:t xml:space="preserve"> 应使用第</w:t>
      </w:r>
      <w:r>
        <w:rPr>
          <w:rFonts w:ascii="TimesNewRomanPSMT" w:hAnsi="TimesNewRomanPSMT" w:cs="TimesNewRomanPSMT"/>
          <w:kern w:val="0"/>
          <w:szCs w:val="21"/>
        </w:rPr>
        <w:t>18</w:t>
      </w:r>
      <w:r>
        <w:rPr>
          <w:rFonts w:hint="eastAsia" w:ascii="TimesNewRomanPSMT" w:hAnsi="TimesNewRomanPSMT" w:cs="TimesNewRomanPSMT"/>
          <w:kern w:val="0"/>
          <w:szCs w:val="21"/>
        </w:rPr>
        <w:t>.</w:t>
      </w:r>
      <w:r>
        <w:rPr>
          <w:rFonts w:ascii="TimesNewRomanPSMT" w:hAnsi="TimesNewRomanPSMT" w:cs="TimesNewRomanPSMT"/>
          <w:kern w:val="0"/>
          <w:szCs w:val="21"/>
        </w:rPr>
        <w:t>8.1</w:t>
      </w:r>
      <w:r>
        <w:rPr>
          <w:rFonts w:hint="eastAsia" w:ascii="TimesNewRomanPSMT" w:hAnsi="TimesNewRomanPSMT" w:cs="TimesNewRomanPSMT"/>
          <w:kern w:val="0"/>
          <w:szCs w:val="21"/>
        </w:rPr>
        <w:t>要求的代表性燃油样本（</w:t>
      </w:r>
      <w:r>
        <w:rPr>
          <w:rFonts w:ascii="TimesNewRomanPSMT" w:hAnsi="TimesNewRomanPSMT" w:cs="TimesNewRomanPSMT"/>
          <w:kern w:val="0"/>
          <w:szCs w:val="21"/>
        </w:rPr>
        <w:t>MARPOL</w:t>
      </w:r>
      <w:r>
        <w:rPr>
          <w:rFonts w:hint="eastAsia" w:ascii="TimesNewRomanPSMT" w:hAnsi="TimesNewRomanPSMT" w:cs="TimesNewRomanPSMT"/>
          <w:kern w:val="0"/>
          <w:szCs w:val="21"/>
        </w:rPr>
        <w:t>交付样本）验证交付至船上的燃油硫含量。</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1.2 </w:t>
      </w:r>
      <w:r>
        <w:rPr>
          <w:rFonts w:hint="eastAsia" w:ascii="TimesNewRomanPSMT" w:hAnsi="TimesNewRomanPSMT" w:cs="TimesNewRomanPSMT"/>
          <w:kern w:val="0"/>
          <w:szCs w:val="21"/>
        </w:rPr>
        <w:t xml:space="preserve"> 缔约国应通过其主管当局管理验证程序。</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1.3 </w:t>
      </w:r>
      <w:r>
        <w:rPr>
          <w:rFonts w:hint="eastAsia" w:ascii="TimesNewRomanPSMT" w:hAnsi="TimesNewRomanPSMT" w:cs="TimesNewRomanPSMT"/>
          <w:kern w:val="0"/>
          <w:szCs w:val="21"/>
        </w:rPr>
        <w:t xml:space="preserve"> 负责本附录所述硫含量试验程序的实验室应就其使用的试验方法获得有效认可</w:t>
      </w:r>
      <w:r>
        <w:rPr>
          <w:rStyle w:val="33"/>
          <w:rFonts w:ascii="TimesNewRomanPSMT" w:hAnsi="TimesNewRomanPSMT" w:cs="TimesNewRomanPSMT"/>
          <w:kern w:val="0"/>
          <w:szCs w:val="21"/>
        </w:rPr>
        <w:footnoteReference w:id="48"/>
      </w:r>
      <w:r>
        <w:rPr>
          <w:rFonts w:hint="eastAsia" w:ascii="TimesNewRomanPSMT" w:hAnsi="TimesNewRomanPSMT" w:cs="TimesNewRomanPSMT"/>
          <w:kern w:val="0"/>
          <w:szCs w:val="21"/>
        </w:rPr>
        <w:t>。</w:t>
      </w:r>
    </w:p>
    <w:p>
      <w:pPr>
        <w:autoSpaceDE w:val="0"/>
        <w:autoSpaceDN w:val="0"/>
        <w:adjustRightInd w:val="0"/>
        <w:snapToGrid w:val="0"/>
        <w:ind w:firstLine="424" w:firstLineChars="202"/>
        <w:rPr>
          <w:rFonts w:ascii="TimesNewRomanPSMT" w:hAnsi="TimesNewRomanPSMT" w:cs="TimesNewRomanPSMT"/>
          <w:kern w:val="0"/>
          <w:szCs w:val="21"/>
        </w:rPr>
      </w:pPr>
    </w:p>
    <w:p>
      <w:pPr>
        <w:autoSpaceDE w:val="0"/>
        <w:autoSpaceDN w:val="0"/>
        <w:adjustRightInd w:val="0"/>
        <w:snapToGrid w:val="0"/>
        <w:ind w:firstLine="424" w:firstLineChars="202"/>
        <w:rPr>
          <w:rFonts w:ascii="TimesNewRomanPSMT" w:hAnsi="TimesNewRomanPSMT" w:cs="TimesNewRomanPSMT"/>
          <w:color w:val="FF0000"/>
          <w:kern w:val="0"/>
          <w:szCs w:val="21"/>
          <w:u w:val="single"/>
        </w:rPr>
      </w:pPr>
      <w:r>
        <w:rPr>
          <w:rFonts w:ascii="TimesNewRomanPSMT" w:hAnsi="TimesNewRomanPSMT" w:cs="TimesNewRomanPSMT"/>
          <w:color w:val="FF0000"/>
          <w:kern w:val="0"/>
          <w:szCs w:val="21"/>
          <w:u w:val="single"/>
        </w:rPr>
        <w:t xml:space="preserve">2 </w:t>
      </w:r>
      <w:r>
        <w:rPr>
          <w:rFonts w:hint="eastAsia" w:ascii="TimesNewRomanPSMT" w:hAnsi="TimesNewRomanPSMT" w:cs="TimesNewRomanPSMT"/>
          <w:color w:val="FF0000"/>
          <w:kern w:val="0"/>
          <w:szCs w:val="21"/>
          <w:u w:val="single"/>
        </w:rPr>
        <w:t xml:space="preserve"> 验证程序</w:t>
      </w:r>
      <w:r>
        <w:rPr>
          <w:rFonts w:hint="eastAsia" w:ascii="宋体" w:cs="宋体"/>
          <w:color w:val="FF0000"/>
          <w:kern w:val="0"/>
          <w:szCs w:val="21"/>
          <w:u w:val="single"/>
        </w:rPr>
        <w:t>第</w:t>
      </w:r>
      <w:r>
        <w:rPr>
          <w:rFonts w:hint="eastAsia" w:ascii="TimesNewRomanPSMT" w:hAnsi="TimesNewRomanPSMT" w:cs="TimesNewRomanPSMT"/>
          <w:color w:val="FF0000"/>
          <w:kern w:val="0"/>
          <w:szCs w:val="21"/>
          <w:u w:val="single"/>
        </w:rPr>
        <w:t>1部分</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2.1 </w:t>
      </w:r>
      <w:r>
        <w:rPr>
          <w:rFonts w:hint="eastAsia" w:ascii="TimesNewRomanPSMT" w:hAnsi="TimesNewRomanPSMT" w:cs="TimesNewRomanPSMT"/>
          <w:kern w:val="0"/>
          <w:szCs w:val="21"/>
        </w:rPr>
        <w:t xml:space="preserve"> 主管当局应将</w:t>
      </w:r>
      <w:r>
        <w:rPr>
          <w:rFonts w:ascii="TimesNewRomanPSMT" w:hAnsi="TimesNewRomanPSMT" w:cs="TimesNewRomanPSMT"/>
          <w:kern w:val="0"/>
          <w:szCs w:val="21"/>
        </w:rPr>
        <w:t>MARPOL</w:t>
      </w:r>
      <w:r>
        <w:rPr>
          <w:rFonts w:hint="eastAsia" w:ascii="TimesNewRomanPSMT" w:hAnsi="TimesNewRomanPSMT" w:cs="TimesNewRomanPSMT"/>
          <w:kern w:val="0"/>
          <w:szCs w:val="21"/>
        </w:rPr>
        <w:t>交付样本送至实验室。</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2.2 </w:t>
      </w:r>
      <w:r>
        <w:rPr>
          <w:rFonts w:hint="eastAsia" w:ascii="TimesNewRomanPSMT" w:hAnsi="TimesNewRomanPSMT" w:cs="TimesNewRomanPSMT"/>
          <w:kern w:val="0"/>
          <w:szCs w:val="21"/>
        </w:rPr>
        <w:t xml:space="preserve"> 实验室应：</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将密封号和样本标签的详细信息记入试验记录；</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.2 </w:t>
      </w:r>
      <w:r>
        <w:rPr>
          <w:rFonts w:hint="eastAsia" w:ascii="TimesNewRomanPSMT" w:hAnsi="TimesNewRomanPSMT" w:cs="TimesNewRomanPSMT"/>
          <w:kern w:val="0"/>
          <w:szCs w:val="21"/>
        </w:rPr>
        <w:t>在试验记录中记录收到的样本的封印情况；和</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.3 </w:t>
      </w:r>
      <w:r>
        <w:rPr>
          <w:rFonts w:hint="eastAsia" w:ascii="TimesNewRomanPSMT" w:hAnsi="TimesNewRomanPSMT" w:cs="TimesNewRomanPSMT"/>
          <w:kern w:val="0"/>
          <w:szCs w:val="21"/>
        </w:rPr>
        <w:t>拒收任何接收前封印已受损的样本，并在试验记录中记录拒收。</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2.3 </w:t>
      </w:r>
      <w:r>
        <w:rPr>
          <w:rFonts w:hint="eastAsia" w:ascii="TimesNewRomanPSMT" w:hAnsi="TimesNewRomanPSMT" w:cs="TimesNewRomanPSMT"/>
          <w:kern w:val="0"/>
          <w:szCs w:val="21"/>
        </w:rPr>
        <w:t xml:space="preserve"> 如接收到的样本封印未受损，实验室应继续验证程序并应：</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开封样本；</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.2 确保样本完全均匀；</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w:t>
      </w:r>
      <w:r>
        <w:rPr>
          <w:rFonts w:hint="eastAsia" w:ascii="TimesNewRomanPSMT" w:hAnsi="TimesNewRomanPSMT" w:cs="TimesNewRomanPSMT"/>
          <w:kern w:val="0"/>
          <w:szCs w:val="21"/>
        </w:rPr>
        <w:t>3</w:t>
      </w:r>
      <w:r>
        <w:rPr>
          <w:rFonts w:ascii="TimesNewRomanPSMT" w:hAnsi="TimesNewRomanPSMT" w:cs="TimesNewRomanPSMT"/>
          <w:kern w:val="0"/>
          <w:szCs w:val="21"/>
        </w:rPr>
        <w:t xml:space="preserve"> </w:t>
      </w:r>
      <w:r>
        <w:rPr>
          <w:rFonts w:hint="eastAsia" w:ascii="TimesNewRomanPSMT" w:hAnsi="TimesNewRomanPSMT" w:cs="TimesNewRomanPSMT"/>
          <w:kern w:val="0"/>
          <w:szCs w:val="21"/>
        </w:rPr>
        <w:t>从样本中取出两份小样；和</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w:t>
      </w:r>
      <w:r>
        <w:rPr>
          <w:rFonts w:hint="eastAsia" w:ascii="TimesNewRomanPSMT" w:hAnsi="TimesNewRomanPSMT" w:cs="TimesNewRomanPSMT"/>
          <w:kern w:val="0"/>
          <w:szCs w:val="21"/>
        </w:rPr>
        <w:t>4</w:t>
      </w:r>
      <w:r>
        <w:rPr>
          <w:rFonts w:ascii="TimesNewRomanPSMT" w:hAnsi="TimesNewRomanPSMT" w:cs="TimesNewRomanPSMT"/>
          <w:kern w:val="0"/>
          <w:szCs w:val="21"/>
        </w:rPr>
        <w:t xml:space="preserve"> </w:t>
      </w:r>
      <w:r>
        <w:rPr>
          <w:rFonts w:hint="eastAsia" w:ascii="TimesNewRomanPSMT" w:hAnsi="TimesNewRomanPSMT" w:cs="TimesNewRomanPSMT"/>
          <w:kern w:val="0"/>
          <w:szCs w:val="21"/>
        </w:rPr>
        <w:t>重新密封样本并在试验记录中记入重新密封的详细信息。</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2.4 </w:t>
      </w:r>
      <w:r>
        <w:rPr>
          <w:rFonts w:hint="eastAsia" w:ascii="TimesNewRomanPSMT" w:hAnsi="TimesNewRomanPSMT" w:cs="TimesNewRomanPSMT"/>
          <w:kern w:val="0"/>
          <w:szCs w:val="21"/>
        </w:rPr>
        <w:t xml:space="preserve"> </w:t>
      </w:r>
      <w:r>
        <w:rPr>
          <w:rFonts w:hint="eastAsia" w:ascii="宋体" w:hAnsi="TimesNewRomanPSMT" w:cs="宋体"/>
          <w:kern w:val="0"/>
          <w:szCs w:val="21"/>
        </w:rPr>
        <w:t>应按本附则第</w:t>
      </w:r>
      <w:r>
        <w:rPr>
          <w:rFonts w:hint="eastAsia" w:ascii="TimesNewRomanPSMT" w:hAnsi="TimesNewRomanPSMT" w:cs="TimesNewRomanPSMT"/>
          <w:kern w:val="0"/>
          <w:szCs w:val="21"/>
        </w:rPr>
        <w:t>2.52条规定的</w:t>
      </w:r>
      <w:r>
        <w:rPr>
          <w:rFonts w:hint="eastAsia" w:ascii="宋体" w:hAnsi="TimesNewRomanPSMT" w:cs="宋体"/>
          <w:kern w:val="0"/>
          <w:szCs w:val="21"/>
        </w:rPr>
        <w:t>试验方法对两份小样依次进行试验。就</w:t>
      </w:r>
      <w:r>
        <w:rPr>
          <w:rFonts w:hint="eastAsia" w:ascii="宋体" w:cs="宋体"/>
          <w:kern w:val="0"/>
          <w:szCs w:val="21"/>
        </w:rPr>
        <w:t>第</w:t>
      </w:r>
      <w:r>
        <w:rPr>
          <w:rFonts w:hint="eastAsia" w:ascii="TimesNewRomanPSMT" w:hAnsi="TimesNewRomanPSMT" w:cs="TimesNewRomanPSMT"/>
          <w:kern w:val="0"/>
          <w:szCs w:val="21"/>
        </w:rPr>
        <w:t>1部分</w:t>
      </w:r>
      <w:r>
        <w:rPr>
          <w:rFonts w:hint="eastAsia" w:ascii="宋体" w:hAnsi="TimesNewRomanPSMT" w:cs="宋体"/>
          <w:kern w:val="0"/>
          <w:szCs w:val="21"/>
        </w:rPr>
        <w:t>验证程序而言，该试验分析结果应分为</w:t>
      </w:r>
      <w:r>
        <w:rPr>
          <w:rFonts w:hint="eastAsia" w:ascii="TimesNewRomanPSMT" w:hAnsi="TimesNewRomanPSMT" w:cs="TimesNewRomanPSMT"/>
          <w:kern w:val="0"/>
          <w:szCs w:val="21"/>
        </w:rPr>
        <w:t>“1</w:t>
      </w:r>
      <w:r>
        <w:rPr>
          <w:rFonts w:ascii="TimesNewRomanPSMT" w:hAnsi="TimesNewRomanPSMT" w:cs="TimesNewRomanPSMT"/>
          <w:kern w:val="0"/>
          <w:szCs w:val="21"/>
        </w:rPr>
        <w:t>A</w:t>
      </w:r>
      <w:r>
        <w:rPr>
          <w:rFonts w:hint="eastAsia" w:ascii="TimesNewRomanPSMT" w:hAnsi="TimesNewRomanPSMT" w:cs="TimesNewRomanPSMT"/>
          <w:kern w:val="0"/>
          <w:szCs w:val="21"/>
        </w:rPr>
        <w:t>”和“1</w:t>
      </w:r>
      <w:r>
        <w:rPr>
          <w:rFonts w:ascii="TimesNewRomanPSMT" w:hAnsi="TimesNewRomanPSMT" w:cs="TimesNewRomanPSMT"/>
          <w:kern w:val="0"/>
          <w:szCs w:val="21"/>
        </w:rPr>
        <w:t>B</w:t>
      </w:r>
      <w:r>
        <w:rPr>
          <w:rFonts w:hint="eastAsia" w:ascii="TimesNewRomanPSMT" w:hAnsi="TimesNewRomanPSMT" w:cs="TimesNewRomanPSMT"/>
          <w:kern w:val="0"/>
          <w:szCs w:val="21"/>
        </w:rPr>
        <w:t>”：</w:t>
      </w:r>
    </w:p>
    <w:p>
      <w:pPr>
        <w:autoSpaceDE w:val="0"/>
        <w:autoSpaceDN w:val="0"/>
        <w:adjustRightInd w:val="0"/>
        <w:snapToGrid w:val="0"/>
        <w:ind w:left="838" w:leftChars="304" w:hanging="200"/>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应按试验方法的要求在试验记录中记录结果“1</w:t>
      </w:r>
      <w:r>
        <w:rPr>
          <w:rFonts w:ascii="TimesNewRomanPSMT" w:hAnsi="TimesNewRomanPSMT" w:cs="TimesNewRomanPSMT"/>
          <w:kern w:val="0"/>
          <w:szCs w:val="21"/>
        </w:rPr>
        <w:t>A</w:t>
      </w:r>
      <w:r>
        <w:rPr>
          <w:rFonts w:hint="eastAsia" w:ascii="TimesNewRomanPSMT" w:hAnsi="TimesNewRomanPSMT" w:cs="TimesNewRomanPSMT"/>
          <w:kern w:val="0"/>
          <w:szCs w:val="21"/>
        </w:rPr>
        <w:t>”和“1</w:t>
      </w:r>
      <w:r>
        <w:rPr>
          <w:rFonts w:ascii="TimesNewRomanPSMT" w:hAnsi="TimesNewRomanPSMT" w:cs="TimesNewRomanPSMT"/>
          <w:kern w:val="0"/>
          <w:szCs w:val="21"/>
        </w:rPr>
        <w:t>B</w:t>
      </w:r>
      <w:r>
        <w:rPr>
          <w:rFonts w:hint="eastAsia" w:ascii="TimesNewRomanPSMT" w:hAnsi="TimesNewRomanPSMT" w:cs="TimesNewRomanPSMT"/>
          <w:kern w:val="0"/>
          <w:szCs w:val="21"/>
        </w:rPr>
        <w:t>”；和</w:t>
      </w:r>
    </w:p>
    <w:p>
      <w:pPr>
        <w:autoSpaceDE w:val="0"/>
        <w:autoSpaceDN w:val="0"/>
        <w:adjustRightInd w:val="0"/>
        <w:snapToGrid w:val="0"/>
        <w:ind w:left="838" w:leftChars="304" w:hanging="200"/>
        <w:rPr>
          <w:rFonts w:ascii="TimesNewRomanPSMT" w:hAnsi="TimesNewRomanPSMT" w:cs="TimesNewRomanPSMT"/>
          <w:kern w:val="0"/>
          <w:szCs w:val="21"/>
        </w:rPr>
      </w:pPr>
      <w:r>
        <w:rPr>
          <w:rFonts w:hint="eastAsia" w:ascii="TimesNewRomanPSMT" w:hAnsi="TimesNewRomanPSMT" w:cs="TimesNewRomanPSMT"/>
          <w:kern w:val="0"/>
          <w:szCs w:val="21"/>
        </w:rPr>
        <w:t>.2 如结果“1</w:t>
      </w:r>
      <w:r>
        <w:rPr>
          <w:rFonts w:ascii="TimesNewRomanPSMT" w:hAnsi="TimesNewRomanPSMT" w:cs="TimesNewRomanPSMT"/>
          <w:kern w:val="0"/>
          <w:szCs w:val="21"/>
        </w:rPr>
        <w:t>A</w:t>
      </w:r>
      <w:r>
        <w:rPr>
          <w:rFonts w:hint="eastAsia" w:ascii="TimesNewRomanPSMT" w:hAnsi="TimesNewRomanPSMT" w:cs="TimesNewRomanPSMT"/>
          <w:kern w:val="0"/>
          <w:szCs w:val="21"/>
        </w:rPr>
        <w:t>”和“1</w:t>
      </w:r>
      <w:r>
        <w:rPr>
          <w:rFonts w:ascii="TimesNewRomanPSMT" w:hAnsi="TimesNewRomanPSMT" w:cs="TimesNewRomanPSMT"/>
          <w:kern w:val="0"/>
          <w:szCs w:val="21"/>
        </w:rPr>
        <w:t>B</w:t>
      </w:r>
      <w:r>
        <w:rPr>
          <w:rFonts w:hint="eastAsia" w:ascii="TimesNewRomanPSMT" w:hAnsi="TimesNewRomanPSMT" w:cs="TimesNewRomanPSMT"/>
          <w:kern w:val="0"/>
          <w:szCs w:val="21"/>
        </w:rPr>
        <w:t>”在试验方法的可重复性（</w:t>
      </w:r>
      <w:r>
        <w:rPr>
          <w:rFonts w:ascii="TimesNewRomanPSMT" w:hAnsi="TimesNewRomanPSMT" w:cs="TimesNewRomanPSMT"/>
          <w:kern w:val="0"/>
          <w:szCs w:val="21"/>
        </w:rPr>
        <w:t>r</w:t>
      </w:r>
      <w:r>
        <w:rPr>
          <w:rFonts w:hint="eastAsia" w:ascii="TimesNewRomanPSMT" w:hAnsi="TimesNewRomanPSMT" w:cs="TimesNewRomanPSMT"/>
          <w:kern w:val="0"/>
          <w:szCs w:val="21"/>
        </w:rPr>
        <w:t>）</w:t>
      </w:r>
      <w:r>
        <w:rPr>
          <w:rStyle w:val="33"/>
          <w:rFonts w:ascii="TimesNewRomanPSMT" w:hAnsi="TimesNewRomanPSMT" w:cs="TimesNewRomanPSMT"/>
          <w:kern w:val="0"/>
          <w:szCs w:val="21"/>
        </w:rPr>
        <w:footnoteReference w:id="49"/>
      </w:r>
      <w:r>
        <w:rPr>
          <w:rFonts w:hint="eastAsia" w:ascii="TimesNewRomanPSMT" w:hAnsi="TimesNewRomanPSMT" w:cs="TimesNewRomanPSMT"/>
          <w:kern w:val="0"/>
          <w:szCs w:val="21"/>
        </w:rPr>
        <w:t>范围内，则结果应视为有效；或</w:t>
      </w:r>
    </w:p>
    <w:p>
      <w:pPr>
        <w:autoSpaceDE w:val="0"/>
        <w:autoSpaceDN w:val="0"/>
        <w:adjustRightInd w:val="0"/>
        <w:snapToGrid w:val="0"/>
        <w:ind w:left="838" w:leftChars="304" w:hanging="200"/>
        <w:rPr>
          <w:rFonts w:ascii="宋体" w:hAnsi="TimesNewRomanPSMT" w:cs="宋体"/>
          <w:kern w:val="0"/>
          <w:szCs w:val="21"/>
        </w:rPr>
      </w:pPr>
      <w:r>
        <w:rPr>
          <w:rFonts w:ascii="TimesNewRomanPSMT" w:hAnsi="TimesNewRomanPSMT" w:cs="TimesNewRomanPSMT"/>
          <w:kern w:val="0"/>
          <w:szCs w:val="21"/>
        </w:rPr>
        <w:t>.</w:t>
      </w:r>
      <w:r>
        <w:rPr>
          <w:rFonts w:hint="eastAsia" w:ascii="TimesNewRomanPSMT" w:hAnsi="TimesNewRomanPSMT" w:cs="TimesNewRomanPSMT"/>
          <w:kern w:val="0"/>
          <w:szCs w:val="21"/>
        </w:rPr>
        <w:t>3</w:t>
      </w:r>
      <w:r>
        <w:rPr>
          <w:rFonts w:ascii="TimesNewRomanPSMT" w:hAnsi="TimesNewRomanPSMT" w:cs="TimesNewRomanPSMT"/>
          <w:kern w:val="0"/>
          <w:szCs w:val="21"/>
        </w:rPr>
        <w:t xml:space="preserve"> </w:t>
      </w:r>
      <w:r>
        <w:rPr>
          <w:rFonts w:hint="eastAsia" w:ascii="TimesNewRomanPSMT" w:hAnsi="TimesNewRomanPSMT" w:cs="TimesNewRomanPSMT"/>
          <w:kern w:val="0"/>
          <w:szCs w:val="21"/>
        </w:rPr>
        <w:t>如结果“1</w:t>
      </w:r>
      <w:r>
        <w:rPr>
          <w:rFonts w:ascii="TimesNewRomanPSMT" w:hAnsi="TimesNewRomanPSMT" w:cs="TimesNewRomanPSMT"/>
          <w:kern w:val="0"/>
          <w:szCs w:val="21"/>
        </w:rPr>
        <w:t>A</w:t>
      </w:r>
      <w:r>
        <w:rPr>
          <w:rFonts w:hint="eastAsia" w:ascii="TimesNewRomanPSMT" w:hAnsi="TimesNewRomanPSMT" w:cs="TimesNewRomanPSMT"/>
          <w:kern w:val="0"/>
          <w:szCs w:val="21"/>
        </w:rPr>
        <w:t>”和“1</w:t>
      </w:r>
      <w:r>
        <w:rPr>
          <w:rFonts w:ascii="TimesNewRomanPSMT" w:hAnsi="TimesNewRomanPSMT" w:cs="TimesNewRomanPSMT"/>
          <w:kern w:val="0"/>
          <w:szCs w:val="21"/>
        </w:rPr>
        <w:t>B</w:t>
      </w:r>
      <w:r>
        <w:rPr>
          <w:rFonts w:hint="eastAsia" w:ascii="TimesNewRomanPSMT" w:hAnsi="TimesNewRomanPSMT" w:cs="TimesNewRomanPSMT"/>
          <w:kern w:val="0"/>
          <w:szCs w:val="21"/>
        </w:rPr>
        <w:t>”不在试验方法的可重复性（</w:t>
      </w:r>
      <w:r>
        <w:rPr>
          <w:rFonts w:ascii="TimesNewRomanPSMT" w:hAnsi="TimesNewRomanPSMT" w:cs="TimesNewRomanPSMT"/>
          <w:kern w:val="0"/>
          <w:szCs w:val="21"/>
        </w:rPr>
        <w:t>r</w:t>
      </w:r>
      <w:r>
        <w:rPr>
          <w:rFonts w:hint="eastAsia" w:ascii="TimesNewRomanPSMT" w:hAnsi="TimesNewRomanPSMT" w:cs="TimesNewRomanPSMT"/>
          <w:kern w:val="0"/>
          <w:szCs w:val="21"/>
        </w:rPr>
        <w:t>）范围内，则两个结果均应放弃，并应由实验室重新提取两份小样进行试验。提取了新小样后，样本瓶应</w:t>
      </w:r>
      <w:r>
        <w:rPr>
          <w:rFonts w:hint="eastAsia" w:ascii="宋体" w:hAnsi="TimesNewRomanPSMT" w:cs="宋体"/>
          <w:kern w:val="0"/>
          <w:szCs w:val="21"/>
        </w:rPr>
        <w:t>按上述</w:t>
      </w:r>
      <w:r>
        <w:rPr>
          <w:rFonts w:ascii="TimesNewRomanPSMT" w:hAnsi="TimesNewRomanPSMT" w:cs="TimesNewRomanPSMT"/>
          <w:kern w:val="0"/>
          <w:szCs w:val="21"/>
        </w:rPr>
        <w:t>2.3.</w:t>
      </w:r>
      <w:r>
        <w:rPr>
          <w:rFonts w:hint="eastAsia" w:ascii="TimesNewRomanPSMT" w:hAnsi="TimesNewRomanPSMT" w:cs="TimesNewRomanPSMT"/>
          <w:kern w:val="0"/>
          <w:szCs w:val="21"/>
        </w:rPr>
        <w:t>4</w:t>
      </w:r>
      <w:r>
        <w:rPr>
          <w:rFonts w:hint="eastAsia" w:ascii="宋体" w:hAnsi="TimesNewRomanPSMT" w:cs="宋体"/>
          <w:kern w:val="0"/>
          <w:szCs w:val="21"/>
        </w:rPr>
        <w:t>重新密封。</w:t>
      </w:r>
    </w:p>
    <w:p>
      <w:pPr>
        <w:autoSpaceDE w:val="0"/>
        <w:autoSpaceDN w:val="0"/>
        <w:adjustRightInd w:val="0"/>
        <w:snapToGrid w:val="0"/>
        <w:ind w:left="838" w:leftChars="304" w:hanging="200"/>
        <w:rPr>
          <w:rFonts w:ascii="TimesNewRomanPSMT" w:hAnsi="TimesNewRomanPSMT" w:cs="TimesNewRomanPSMT"/>
          <w:kern w:val="0"/>
          <w:szCs w:val="21"/>
        </w:rPr>
      </w:pPr>
      <w:r>
        <w:rPr>
          <w:rFonts w:hint="eastAsia" w:ascii="TimesNewRomanPSMT" w:hAnsi="TimesNewRomanPSMT" w:cs="TimesNewRomanPSMT"/>
          <w:kern w:val="0"/>
          <w:szCs w:val="21"/>
        </w:rPr>
        <w:t>.4 如果在“1</w:t>
      </w:r>
      <w:r>
        <w:rPr>
          <w:rFonts w:ascii="TimesNewRomanPSMT" w:hAnsi="TimesNewRomanPSMT" w:cs="TimesNewRomanPSMT"/>
          <w:kern w:val="0"/>
          <w:szCs w:val="21"/>
        </w:rPr>
        <w:t>A</w:t>
      </w:r>
      <w:r>
        <w:rPr>
          <w:rFonts w:hint="eastAsia" w:ascii="TimesNewRomanPSMT" w:hAnsi="TimesNewRomanPSMT" w:cs="TimesNewRomanPSMT"/>
          <w:kern w:val="0"/>
          <w:szCs w:val="21"/>
        </w:rPr>
        <w:t>”和“1</w:t>
      </w:r>
      <w:r>
        <w:rPr>
          <w:rFonts w:ascii="TimesNewRomanPSMT" w:hAnsi="TimesNewRomanPSMT" w:cs="TimesNewRomanPSMT"/>
          <w:kern w:val="0"/>
          <w:szCs w:val="21"/>
        </w:rPr>
        <w:t>B</w:t>
      </w:r>
      <w:r>
        <w:rPr>
          <w:rFonts w:hint="eastAsia" w:ascii="TimesNewRomanPSMT" w:hAnsi="TimesNewRomanPSMT" w:cs="TimesNewRomanPSMT"/>
          <w:kern w:val="0"/>
          <w:szCs w:val="21"/>
        </w:rPr>
        <w:t>”之间实现可重复性失败两次，实验室应调查失败原因并在继续样本试验前解决问题。在解决可重复性问题后，应按2.3提取</w:t>
      </w:r>
      <w:r>
        <w:rPr>
          <w:rFonts w:hint="eastAsia" w:ascii="宋体" w:hAnsi="TimesNewRomanPSMT" w:cs="宋体"/>
          <w:kern w:val="0"/>
          <w:szCs w:val="21"/>
        </w:rPr>
        <w:t>两份</w:t>
      </w:r>
      <w:r>
        <w:rPr>
          <w:rFonts w:hint="eastAsia" w:ascii="TimesNewRomanPSMT" w:hAnsi="TimesNewRomanPSMT" w:cs="TimesNewRomanPSMT"/>
          <w:kern w:val="0"/>
          <w:szCs w:val="21"/>
        </w:rPr>
        <w:t>新小样。提取了新小样后，样本瓶应</w:t>
      </w:r>
      <w:r>
        <w:rPr>
          <w:rFonts w:hint="eastAsia" w:ascii="宋体" w:hAnsi="TimesNewRomanPSMT" w:cs="宋体"/>
          <w:kern w:val="0"/>
          <w:szCs w:val="21"/>
        </w:rPr>
        <w:t>按上述</w:t>
      </w:r>
      <w:r>
        <w:rPr>
          <w:rFonts w:ascii="TimesNewRomanPSMT" w:hAnsi="TimesNewRomanPSMT" w:cs="TimesNewRomanPSMT"/>
          <w:kern w:val="0"/>
          <w:szCs w:val="21"/>
        </w:rPr>
        <w:t>2.3.</w:t>
      </w:r>
      <w:r>
        <w:rPr>
          <w:rFonts w:hint="eastAsia" w:ascii="TimesNewRomanPSMT" w:hAnsi="TimesNewRomanPSMT" w:cs="TimesNewRomanPSMT"/>
          <w:kern w:val="0"/>
          <w:szCs w:val="21"/>
        </w:rPr>
        <w:t>4</w:t>
      </w:r>
      <w:r>
        <w:rPr>
          <w:rFonts w:hint="eastAsia" w:ascii="宋体" w:hAnsi="TimesNewRomanPSMT" w:cs="宋体"/>
          <w:kern w:val="0"/>
          <w:szCs w:val="21"/>
        </w:rPr>
        <w:t>重新密封。</w:t>
      </w:r>
    </w:p>
    <w:p>
      <w:pPr>
        <w:autoSpaceDE w:val="0"/>
        <w:autoSpaceDN w:val="0"/>
        <w:adjustRightInd w:val="0"/>
        <w:snapToGrid w:val="0"/>
        <w:ind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2.5 </w:t>
      </w:r>
      <w:r>
        <w:rPr>
          <w:rFonts w:hint="eastAsia" w:ascii="TimesNewRomanPSMT" w:hAnsi="TimesNewRomanPSMT" w:cs="TimesNewRomanPSMT"/>
          <w:kern w:val="0"/>
          <w:szCs w:val="21"/>
        </w:rPr>
        <w:t>如试验结果“1</w:t>
      </w:r>
      <w:r>
        <w:rPr>
          <w:rFonts w:ascii="TimesNewRomanPSMT" w:hAnsi="TimesNewRomanPSMT" w:cs="TimesNewRomanPSMT"/>
          <w:kern w:val="0"/>
          <w:szCs w:val="21"/>
        </w:rPr>
        <w:t>A</w:t>
      </w:r>
      <w:r>
        <w:rPr>
          <w:rFonts w:hint="eastAsia" w:ascii="TimesNewRomanPSMT" w:hAnsi="TimesNewRomanPSMT" w:cs="TimesNewRomanPSMT"/>
          <w:kern w:val="0"/>
          <w:szCs w:val="21"/>
        </w:rPr>
        <w:t>”和“1</w:t>
      </w:r>
      <w:r>
        <w:rPr>
          <w:rFonts w:ascii="TimesNewRomanPSMT" w:hAnsi="TimesNewRomanPSMT" w:cs="TimesNewRomanPSMT"/>
          <w:kern w:val="0"/>
          <w:szCs w:val="21"/>
        </w:rPr>
        <w:t>B</w:t>
      </w:r>
      <w:r>
        <w:rPr>
          <w:rFonts w:hint="eastAsia" w:ascii="TimesNewRomanPSMT" w:hAnsi="TimesNewRomanPSMT" w:cs="TimesNewRomanPSMT"/>
          <w:kern w:val="0"/>
          <w:szCs w:val="21"/>
        </w:rPr>
        <w:t>”有效，应计算这两个结果的平均值。平均值应为“</w:t>
      </w:r>
      <w:r>
        <w:rPr>
          <w:rFonts w:ascii="TimesNewRomanPSMT" w:hAnsi="TimesNewRomanPSMT" w:cs="TimesNewRomanPSMT"/>
          <w:kern w:val="0"/>
          <w:szCs w:val="21"/>
        </w:rPr>
        <w:t>X</w:t>
      </w:r>
      <w:r>
        <w:rPr>
          <w:rFonts w:hint="eastAsia" w:ascii="TimesNewRomanPSMT" w:hAnsi="TimesNewRomanPSMT" w:cs="TimesNewRomanPSMT"/>
          <w:kern w:val="0"/>
          <w:szCs w:val="21"/>
        </w:rPr>
        <w:t>”并记录在试验记录中：</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如结果“</w:t>
      </w:r>
      <w:r>
        <w:rPr>
          <w:rFonts w:ascii="TimesNewRomanPSMT" w:hAnsi="TimesNewRomanPSMT" w:cs="TimesNewRomanPSMT"/>
          <w:kern w:val="0"/>
          <w:szCs w:val="21"/>
        </w:rPr>
        <w:t>X</w:t>
      </w:r>
      <w:r>
        <w:rPr>
          <w:rFonts w:hint="eastAsia" w:ascii="TimesNewRomanPSMT" w:hAnsi="TimesNewRomanPSMT" w:cs="TimesNewRomanPSMT"/>
          <w:kern w:val="0"/>
          <w:szCs w:val="21"/>
        </w:rPr>
        <w:t>”等于或低于第14条要求的适用限值，则燃油应视为符合要求；或</w:t>
      </w:r>
    </w:p>
    <w:p>
      <w:pPr>
        <w:autoSpaceDE w:val="0"/>
        <w:autoSpaceDN w:val="0"/>
        <w:adjustRightInd w:val="0"/>
        <w:snapToGrid w:val="0"/>
        <w:ind w:left="210" w:leftChars="100"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.2 如结果“</w:t>
      </w:r>
      <w:r>
        <w:rPr>
          <w:rFonts w:ascii="TimesNewRomanPSMT" w:hAnsi="TimesNewRomanPSMT" w:cs="TimesNewRomanPSMT"/>
          <w:kern w:val="0"/>
          <w:szCs w:val="21"/>
        </w:rPr>
        <w:t>X</w:t>
      </w:r>
      <w:r>
        <w:rPr>
          <w:rFonts w:hint="eastAsia" w:ascii="TimesNewRomanPSMT" w:hAnsi="TimesNewRomanPSMT" w:cs="TimesNewRomanPSMT"/>
          <w:kern w:val="0"/>
          <w:szCs w:val="21"/>
        </w:rPr>
        <w:t>”高于第14条要求的适用限值，则燃油应视为不符合要求。</w:t>
      </w:r>
    </w:p>
    <w:p>
      <w:pPr>
        <w:autoSpaceDE w:val="0"/>
        <w:autoSpaceDN w:val="0"/>
        <w:adjustRightInd w:val="0"/>
        <w:snapToGrid w:val="0"/>
        <w:ind w:firstLine="426" w:firstLineChars="202"/>
        <w:jc w:val="center"/>
        <w:rPr>
          <w:rFonts w:ascii="TimesNewRomanPSMT" w:hAnsi="TimesNewRomanPSMT" w:cs="TimesNewRomanPSMT"/>
          <w:b/>
          <w:kern w:val="0"/>
          <w:szCs w:val="21"/>
        </w:rPr>
      </w:pPr>
    </w:p>
    <w:p>
      <w:pPr>
        <w:autoSpaceDE w:val="0"/>
        <w:autoSpaceDN w:val="0"/>
        <w:adjustRightInd w:val="0"/>
        <w:snapToGrid w:val="0"/>
        <w:ind w:firstLine="426" w:firstLineChars="202"/>
        <w:jc w:val="center"/>
        <w:rPr>
          <w:rFonts w:ascii="TimesNewRomanPSMT" w:hAnsi="TimesNewRomanPSMT" w:cs="TimesNewRomanPSMT"/>
          <w:b/>
          <w:kern w:val="0"/>
          <w:szCs w:val="21"/>
        </w:rPr>
      </w:pPr>
      <w:r>
        <w:rPr>
          <w:rFonts w:hint="eastAsia" w:ascii="TimesNewRomanPSMT" w:hAnsi="TimesNewRomanPSMT" w:cs="TimesNewRomanPSMT"/>
          <w:b/>
          <w:kern w:val="0"/>
          <w:szCs w:val="21"/>
        </w:rPr>
        <w:t xml:space="preserve">表1 </w:t>
      </w:r>
      <w:r>
        <w:rPr>
          <w:rFonts w:hint="eastAsia" w:ascii="宋体" w:cs="宋体"/>
          <w:b/>
          <w:kern w:val="0"/>
          <w:szCs w:val="21"/>
        </w:rPr>
        <w:t>第</w:t>
      </w:r>
      <w:r>
        <w:rPr>
          <w:rFonts w:hint="eastAsia" w:ascii="TimesNewRomanPSMT" w:hAnsi="TimesNewRomanPSMT" w:cs="TimesNewRomanPSMT"/>
          <w:b/>
          <w:kern w:val="0"/>
          <w:szCs w:val="21"/>
        </w:rPr>
        <w:t>1部分MARPOL交付样本程序总结</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根据本附则第2.52条提及的试验方法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适用极限值% m/m：V</w:t>
            </w:r>
          </w:p>
        </w:tc>
        <w:tc>
          <w:tcPr>
            <w:tcW w:w="2841"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结果2.5.1：</w:t>
            </w:r>
            <w:r>
              <w:rPr>
                <w:rFonts w:ascii="TimesNewRomanPSMT" w:hAnsi="TimesNewRomanPSMT" w:cs="TimesNewRomanPSMT"/>
                <w:kern w:val="0"/>
                <w:szCs w:val="21"/>
              </w:rPr>
              <w:t>X ≤ V</w:t>
            </w:r>
          </w:p>
        </w:tc>
        <w:tc>
          <w:tcPr>
            <w:tcW w:w="2841" w:type="dxa"/>
          </w:tcPr>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结果2.5.2：</w:t>
            </w:r>
            <w:r>
              <w:rPr>
                <w:rFonts w:ascii="TimesNewRomanPSMT" w:hAnsi="TimesNewRomanPSMT" w:cs="TimesNewRomanPSMT"/>
                <w:kern w:val="0"/>
                <w:szCs w:val="21"/>
              </w:rPr>
              <w:t>X &gt;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0.10</w:t>
            </w:r>
          </w:p>
        </w:tc>
        <w:tc>
          <w:tcPr>
            <w:tcW w:w="2841" w:type="dxa"/>
            <w:vMerge w:val="restart"/>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满足要求</w:t>
            </w:r>
          </w:p>
        </w:tc>
        <w:tc>
          <w:tcPr>
            <w:tcW w:w="2841" w:type="dxa"/>
            <w:vMerge w:val="restart"/>
          </w:tcPr>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不满足要求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0.50</w:t>
            </w:r>
          </w:p>
        </w:tc>
        <w:tc>
          <w:tcPr>
            <w:tcW w:w="2841" w:type="dxa"/>
            <w:vMerge w:val="continue"/>
          </w:tcPr>
          <w:p>
            <w:pPr>
              <w:autoSpaceDE w:val="0"/>
              <w:autoSpaceDN w:val="0"/>
              <w:adjustRightInd w:val="0"/>
              <w:snapToGrid w:val="0"/>
              <w:rPr>
                <w:rFonts w:ascii="TimesNewRomanPSMT" w:hAnsi="TimesNewRomanPSMT" w:cs="TimesNewRomanPSMT"/>
                <w:kern w:val="0"/>
                <w:szCs w:val="21"/>
              </w:rPr>
            </w:pPr>
          </w:p>
        </w:tc>
        <w:tc>
          <w:tcPr>
            <w:tcW w:w="2841" w:type="dxa"/>
            <w:vMerge w:val="continue"/>
          </w:tcPr>
          <w:p>
            <w:pPr>
              <w:autoSpaceDE w:val="0"/>
              <w:autoSpaceDN w:val="0"/>
              <w:adjustRightInd w:val="0"/>
              <w:snapToGrid w:val="0"/>
              <w:ind w:firstLine="424" w:firstLineChars="202"/>
              <w:rPr>
                <w:rFonts w:ascii="TimesNewRomanPSMT" w:hAnsi="TimesNewRomanPSMT" w:cs="TimesNewRomanPSMT"/>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autoSpaceDE w:val="0"/>
              <w:autoSpaceDN w:val="0"/>
              <w:adjustRightInd w:val="0"/>
              <w:snapToGrid w:val="0"/>
              <w:rPr>
                <w:rFonts w:ascii="TimesNewRomanPSMT" w:hAnsi="TimesNewRomanPSMT" w:cs="TimesNewRomanPSMT"/>
                <w:kern w:val="0"/>
                <w:szCs w:val="21"/>
              </w:rPr>
            </w:pPr>
          </w:p>
        </w:tc>
        <w:tc>
          <w:tcPr>
            <w:tcW w:w="5682" w:type="dxa"/>
            <w:gridSpan w:val="2"/>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结果“X”保留2位小数</w:t>
            </w:r>
          </w:p>
        </w:tc>
      </w:tr>
    </w:tbl>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2.6  本验证程序获得的最终结果应由主管当局评估。</w:t>
      </w:r>
    </w:p>
    <w:p>
      <w:pPr>
        <w:autoSpaceDE w:val="0"/>
        <w:autoSpaceDN w:val="0"/>
        <w:adjustRightInd w:val="0"/>
        <w:snapToGrid w:val="0"/>
        <w:ind w:firstLine="424" w:firstLineChars="202"/>
        <w:rPr>
          <w:rFonts w:ascii="TimesNewRomanPSMT" w:hAnsi="TimesNewRomanPSMT" w:cs="TimesNewRomanPSMT"/>
          <w:color w:val="FF0000"/>
          <w:kern w:val="0"/>
          <w:szCs w:val="21"/>
        </w:rPr>
      </w:pPr>
      <w:r>
        <w:rPr>
          <w:rFonts w:hint="eastAsia" w:ascii="TimesNewRomanPSMT" w:hAnsi="TimesNewRomanPSMT" w:cs="TimesNewRomanPSMT"/>
          <w:kern w:val="0"/>
          <w:szCs w:val="21"/>
        </w:rPr>
        <w:t>2.7  实验室应向管理验证程序的主管当局提供一份试验记录的副本。</w:t>
      </w:r>
    </w:p>
    <w:p>
      <w:pPr>
        <w:autoSpaceDE w:val="0"/>
        <w:autoSpaceDN w:val="0"/>
        <w:adjustRightInd w:val="0"/>
        <w:snapToGrid w:val="0"/>
        <w:ind w:firstLine="426" w:firstLineChars="202"/>
        <w:rPr>
          <w:rFonts w:ascii="宋体" w:cs="宋体"/>
          <w:b/>
          <w:color w:val="FF0000"/>
          <w:kern w:val="0"/>
          <w:szCs w:val="21"/>
        </w:rPr>
      </w:pPr>
    </w:p>
    <w:p>
      <w:pPr>
        <w:autoSpaceDE w:val="0"/>
        <w:autoSpaceDN w:val="0"/>
        <w:adjustRightInd w:val="0"/>
        <w:snapToGrid w:val="0"/>
        <w:ind w:firstLine="426" w:firstLineChars="202"/>
        <w:rPr>
          <w:rFonts w:ascii="TimesNewRomanPSMT" w:hAnsi="TimesNewRomanPSMT" w:cs="TimesNewRomanPSMT"/>
          <w:b/>
          <w:color w:val="FF0000"/>
          <w:kern w:val="0"/>
          <w:szCs w:val="21"/>
          <w:u w:val="single"/>
        </w:rPr>
      </w:pPr>
      <w:r>
        <w:rPr>
          <w:rFonts w:hint="eastAsia" w:ascii="宋体" w:cs="宋体"/>
          <w:b/>
          <w:color w:val="FF0000"/>
          <w:kern w:val="0"/>
          <w:szCs w:val="21"/>
          <w:u w:val="single"/>
        </w:rPr>
        <w:t>第</w:t>
      </w:r>
      <w:r>
        <w:rPr>
          <w:rFonts w:hint="eastAsia" w:ascii="TimesNewRomanPSMT" w:hAnsi="TimesNewRomanPSMT" w:cs="TimesNewRomanPSMT"/>
          <w:b/>
          <w:color w:val="FF0000"/>
          <w:kern w:val="0"/>
          <w:szCs w:val="21"/>
          <w:u w:val="single"/>
        </w:rPr>
        <w:t>2部分</w:t>
      </w:r>
      <w:r>
        <w:rPr>
          <w:rFonts w:ascii="TimesNewRomanPSMT" w:hAnsi="TimesNewRomanPSMT" w:cs="TimesNewRomanPSMT"/>
          <w:b/>
          <w:color w:val="FF0000"/>
          <w:kern w:val="0"/>
          <w:szCs w:val="21"/>
          <w:u w:val="single"/>
        </w:rPr>
        <w:t>—</w:t>
      </w:r>
      <w:r>
        <w:rPr>
          <w:rFonts w:hint="eastAsia" w:ascii="TimesNewRomanPSMT" w:hAnsi="TimesNewRomanPSMT" w:cs="TimesNewRomanPSMT"/>
          <w:b/>
          <w:color w:val="FF0000"/>
          <w:kern w:val="0"/>
          <w:szCs w:val="21"/>
          <w:u w:val="single"/>
        </w:rPr>
        <w:t>在用和船上样本</w:t>
      </w:r>
    </w:p>
    <w:p>
      <w:pPr>
        <w:autoSpaceDE w:val="0"/>
        <w:autoSpaceDN w:val="0"/>
        <w:adjustRightInd w:val="0"/>
        <w:snapToGrid w:val="0"/>
        <w:ind w:firstLine="424" w:firstLineChars="202"/>
        <w:rPr>
          <w:rFonts w:ascii="TimesNewRomanPSMT" w:hAnsi="TimesNewRomanPSMT" w:cs="TimesNewRomanPSMT"/>
          <w:color w:val="FF0000"/>
          <w:kern w:val="0"/>
          <w:szCs w:val="21"/>
          <w:u w:val="single"/>
        </w:rPr>
      </w:pPr>
      <w:r>
        <w:rPr>
          <w:rFonts w:hint="eastAsia" w:ascii="TimesNewRomanPSMT" w:hAnsi="TimesNewRomanPSMT" w:cs="TimesNewRomanPSMT"/>
          <w:color w:val="FF0000"/>
          <w:kern w:val="0"/>
          <w:szCs w:val="21"/>
          <w:u w:val="single"/>
        </w:rPr>
        <w:t>3  一般要求</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3.1  应使用取样点处燃油样本代表的在用或船上样本（视情况）验证燃油硫含量。</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3</w:t>
      </w:r>
      <w:r>
        <w:rPr>
          <w:rFonts w:ascii="TimesNewRomanPSMT" w:hAnsi="TimesNewRomanPSMT" w:cs="TimesNewRomanPSMT"/>
          <w:kern w:val="0"/>
          <w:szCs w:val="21"/>
        </w:rPr>
        <w:t xml:space="preserve">.2 </w:t>
      </w:r>
      <w:r>
        <w:rPr>
          <w:rFonts w:hint="eastAsia" w:ascii="TimesNewRomanPSMT" w:hAnsi="TimesNewRomanPSMT" w:cs="TimesNewRomanPSMT"/>
          <w:kern w:val="0"/>
          <w:szCs w:val="21"/>
        </w:rPr>
        <w:t xml:space="preserve"> 缔约国应通过其主管当局管理验证程序。</w:t>
      </w:r>
    </w:p>
    <w:p>
      <w:pPr>
        <w:autoSpaceDE w:val="0"/>
        <w:autoSpaceDN w:val="0"/>
        <w:adjustRightInd w:val="0"/>
        <w:snapToGrid w:val="0"/>
        <w:ind w:firstLine="424" w:firstLineChars="202"/>
        <w:rPr>
          <w:rFonts w:ascii="TimesNewRomanPSMT" w:hAnsi="TimesNewRomanPSMT" w:cs="TimesNewRomanPSMT"/>
          <w:color w:val="FF0000"/>
          <w:kern w:val="0"/>
          <w:szCs w:val="21"/>
        </w:rPr>
      </w:pPr>
      <w:r>
        <w:rPr>
          <w:rFonts w:hint="eastAsia" w:ascii="TimesNewRomanPSMT" w:hAnsi="TimesNewRomanPSMT" w:cs="TimesNewRomanPSMT"/>
          <w:kern w:val="0"/>
          <w:szCs w:val="21"/>
        </w:rPr>
        <w:t>3</w:t>
      </w:r>
      <w:r>
        <w:rPr>
          <w:rFonts w:ascii="TimesNewRomanPSMT" w:hAnsi="TimesNewRomanPSMT" w:cs="TimesNewRomanPSMT"/>
          <w:kern w:val="0"/>
          <w:szCs w:val="21"/>
        </w:rPr>
        <w:t xml:space="preserve">.3 </w:t>
      </w:r>
      <w:r>
        <w:rPr>
          <w:rFonts w:hint="eastAsia" w:ascii="TimesNewRomanPSMT" w:hAnsi="TimesNewRomanPSMT" w:cs="TimesNewRomanPSMT"/>
          <w:kern w:val="0"/>
          <w:szCs w:val="21"/>
        </w:rPr>
        <w:t xml:space="preserve"> 负责本附录所述硫含量试验程序的实验室应就其使用的试验方法获得有效认可</w:t>
      </w:r>
      <w:r>
        <w:rPr>
          <w:rStyle w:val="33"/>
          <w:rFonts w:ascii="TimesNewRomanPSMT" w:hAnsi="TimesNewRomanPSMT" w:cs="TimesNewRomanPSMT"/>
          <w:kern w:val="0"/>
          <w:szCs w:val="21"/>
        </w:rPr>
        <w:footnoteReference w:id="50"/>
      </w:r>
      <w:r>
        <w:rPr>
          <w:rFonts w:hint="eastAsia" w:ascii="TimesNewRomanPSMT" w:hAnsi="TimesNewRomanPSMT" w:cs="TimesNewRomanPSMT"/>
          <w:kern w:val="0"/>
          <w:szCs w:val="21"/>
        </w:rPr>
        <w:t>。</w:t>
      </w:r>
    </w:p>
    <w:p>
      <w:pPr>
        <w:autoSpaceDE w:val="0"/>
        <w:autoSpaceDN w:val="0"/>
        <w:adjustRightInd w:val="0"/>
        <w:snapToGrid w:val="0"/>
        <w:ind w:firstLine="424" w:firstLineChars="202"/>
        <w:rPr>
          <w:rFonts w:ascii="TimesNewRomanPSMT" w:hAnsi="TimesNewRomanPSMT" w:cs="TimesNewRomanPSMT"/>
          <w:color w:val="FF0000"/>
          <w:kern w:val="0"/>
          <w:szCs w:val="21"/>
          <w:u w:val="single"/>
        </w:rPr>
      </w:pPr>
      <w:r>
        <w:rPr>
          <w:rFonts w:hint="eastAsia" w:ascii="TimesNewRomanPSMT" w:hAnsi="TimesNewRomanPSMT" w:cs="TimesNewRomanPSMT"/>
          <w:color w:val="FF0000"/>
          <w:kern w:val="0"/>
          <w:szCs w:val="21"/>
          <w:u w:val="single"/>
        </w:rPr>
        <w:t>4</w:t>
      </w:r>
      <w:r>
        <w:rPr>
          <w:rFonts w:ascii="TimesNewRomanPSMT" w:hAnsi="TimesNewRomanPSMT" w:cs="TimesNewRomanPSMT"/>
          <w:color w:val="FF0000"/>
          <w:kern w:val="0"/>
          <w:szCs w:val="21"/>
          <w:u w:val="single"/>
        </w:rPr>
        <w:t xml:space="preserve"> </w:t>
      </w:r>
      <w:r>
        <w:rPr>
          <w:rFonts w:hint="eastAsia" w:ascii="TimesNewRomanPSMT" w:hAnsi="TimesNewRomanPSMT" w:cs="TimesNewRomanPSMT"/>
          <w:color w:val="FF0000"/>
          <w:kern w:val="0"/>
          <w:szCs w:val="21"/>
          <w:u w:val="single"/>
        </w:rPr>
        <w:t xml:space="preserve"> 验证程序</w:t>
      </w:r>
      <w:r>
        <w:rPr>
          <w:rFonts w:hint="eastAsia" w:ascii="宋体" w:cs="宋体"/>
          <w:color w:val="FF0000"/>
          <w:kern w:val="0"/>
          <w:szCs w:val="21"/>
          <w:u w:val="single"/>
        </w:rPr>
        <w:t>第</w:t>
      </w:r>
      <w:r>
        <w:rPr>
          <w:rFonts w:hint="eastAsia" w:ascii="TimesNewRomanPSMT" w:hAnsi="TimesNewRomanPSMT" w:cs="TimesNewRomanPSMT"/>
          <w:color w:val="FF0000"/>
          <w:kern w:val="0"/>
          <w:szCs w:val="21"/>
          <w:u w:val="single"/>
        </w:rPr>
        <w:t>2部分</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w:t>
      </w:r>
      <w:r>
        <w:rPr>
          <w:rFonts w:ascii="TimesNewRomanPSMT" w:hAnsi="TimesNewRomanPSMT" w:cs="TimesNewRomanPSMT"/>
          <w:kern w:val="0"/>
          <w:szCs w:val="21"/>
        </w:rPr>
        <w:t xml:space="preserve">.1 </w:t>
      </w:r>
      <w:r>
        <w:rPr>
          <w:rFonts w:hint="eastAsia" w:ascii="TimesNewRomanPSMT" w:hAnsi="TimesNewRomanPSMT" w:cs="TimesNewRomanPSMT"/>
          <w:kern w:val="0"/>
          <w:szCs w:val="21"/>
        </w:rPr>
        <w:t xml:space="preserve"> 主管当局应将在用或船上样本送至实验室。</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w:t>
      </w:r>
      <w:r>
        <w:rPr>
          <w:rFonts w:ascii="TimesNewRomanPSMT" w:hAnsi="TimesNewRomanPSMT" w:cs="TimesNewRomanPSMT"/>
          <w:kern w:val="0"/>
          <w:szCs w:val="21"/>
        </w:rPr>
        <w:t xml:space="preserve">.2 </w:t>
      </w:r>
      <w:r>
        <w:rPr>
          <w:rFonts w:hint="eastAsia" w:ascii="TimesNewRomanPSMT" w:hAnsi="TimesNewRomanPSMT" w:cs="TimesNewRomanPSMT"/>
          <w:kern w:val="0"/>
          <w:szCs w:val="21"/>
        </w:rPr>
        <w:t xml:space="preserve"> 实验室应：</w:t>
      </w:r>
    </w:p>
    <w:p>
      <w:pPr>
        <w:autoSpaceDE w:val="0"/>
        <w:autoSpaceDN w:val="0"/>
        <w:adjustRightInd w:val="0"/>
        <w:snapToGrid w:val="0"/>
        <w:ind w:left="1045" w:leftChars="400" w:hanging="205" w:hangingChars="98"/>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将密封号和样本标签的详细信息记入试验记录；</w:t>
      </w:r>
    </w:p>
    <w:p>
      <w:pPr>
        <w:autoSpaceDE w:val="0"/>
        <w:autoSpaceDN w:val="0"/>
        <w:adjustRightInd w:val="0"/>
        <w:snapToGrid w:val="0"/>
        <w:ind w:left="1045" w:leftChars="400" w:hanging="205" w:hangingChars="98"/>
        <w:rPr>
          <w:rFonts w:ascii="TimesNewRomanPSMT" w:hAnsi="TimesNewRomanPSMT" w:cs="TimesNewRomanPSMT"/>
          <w:kern w:val="0"/>
          <w:szCs w:val="21"/>
        </w:rPr>
      </w:pPr>
      <w:r>
        <w:rPr>
          <w:rFonts w:ascii="TimesNewRomanPSMT" w:hAnsi="TimesNewRomanPSMT" w:cs="TimesNewRomanPSMT"/>
          <w:kern w:val="0"/>
          <w:szCs w:val="21"/>
        </w:rPr>
        <w:t xml:space="preserve">.2 </w:t>
      </w:r>
      <w:r>
        <w:rPr>
          <w:rFonts w:hint="eastAsia" w:ascii="TimesNewRomanPSMT" w:hAnsi="TimesNewRomanPSMT" w:cs="TimesNewRomanPSMT"/>
          <w:kern w:val="0"/>
          <w:szCs w:val="21"/>
        </w:rPr>
        <w:t>在试验记录中记录收到的样本的封印情况；和</w:t>
      </w:r>
    </w:p>
    <w:p>
      <w:pPr>
        <w:autoSpaceDE w:val="0"/>
        <w:autoSpaceDN w:val="0"/>
        <w:adjustRightInd w:val="0"/>
        <w:snapToGrid w:val="0"/>
        <w:ind w:left="1045" w:leftChars="400" w:hanging="205" w:hangingChars="98"/>
        <w:rPr>
          <w:rFonts w:ascii="TimesNewRomanPSMT" w:hAnsi="TimesNewRomanPSMT" w:cs="TimesNewRomanPSMT"/>
          <w:kern w:val="0"/>
          <w:szCs w:val="21"/>
        </w:rPr>
      </w:pPr>
      <w:r>
        <w:rPr>
          <w:rFonts w:ascii="TimesNewRomanPSMT" w:hAnsi="TimesNewRomanPSMT" w:cs="TimesNewRomanPSMT"/>
          <w:kern w:val="0"/>
          <w:szCs w:val="21"/>
        </w:rPr>
        <w:t>.3</w:t>
      </w:r>
      <w:r>
        <w:rPr>
          <w:rFonts w:hint="eastAsia" w:ascii="TimesNewRomanPSMT" w:hAnsi="TimesNewRomanPSMT" w:cs="TimesNewRomanPSMT"/>
          <w:kern w:val="0"/>
          <w:szCs w:val="21"/>
        </w:rPr>
        <w:t xml:space="preserve"> 拒收任何接收前封印已受损的样本，并在试验记录中记录拒收。</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w:t>
      </w:r>
      <w:r>
        <w:rPr>
          <w:rFonts w:ascii="TimesNewRomanPSMT" w:hAnsi="TimesNewRomanPSMT" w:cs="TimesNewRomanPSMT"/>
          <w:kern w:val="0"/>
          <w:szCs w:val="21"/>
        </w:rPr>
        <w:t xml:space="preserve">.3 </w:t>
      </w:r>
      <w:r>
        <w:rPr>
          <w:rFonts w:hint="eastAsia" w:ascii="TimesNewRomanPSMT" w:hAnsi="TimesNewRomanPSMT" w:cs="TimesNewRomanPSMT"/>
          <w:kern w:val="0"/>
          <w:szCs w:val="21"/>
        </w:rPr>
        <w:t xml:space="preserve"> 如收到的样本的封印未受损，实验室应继续验证程序并应：</w:t>
      </w:r>
    </w:p>
    <w:p>
      <w:pPr>
        <w:autoSpaceDE w:val="0"/>
        <w:autoSpaceDN w:val="0"/>
        <w:adjustRightInd w:val="0"/>
        <w:snapToGrid w:val="0"/>
        <w:ind w:left="840" w:leftChars="400"/>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开封样本；</w:t>
      </w:r>
    </w:p>
    <w:p>
      <w:pPr>
        <w:autoSpaceDE w:val="0"/>
        <w:autoSpaceDN w:val="0"/>
        <w:adjustRightInd w:val="0"/>
        <w:snapToGrid w:val="0"/>
        <w:ind w:left="840" w:leftChars="400"/>
        <w:rPr>
          <w:rFonts w:ascii="TimesNewRomanPSMT" w:hAnsi="TimesNewRomanPSMT" w:cs="TimesNewRomanPSMT"/>
          <w:kern w:val="0"/>
          <w:szCs w:val="21"/>
        </w:rPr>
      </w:pPr>
      <w:r>
        <w:rPr>
          <w:rFonts w:hint="eastAsia" w:ascii="TimesNewRomanPSMT" w:hAnsi="TimesNewRomanPSMT" w:cs="TimesNewRomanPSMT"/>
          <w:kern w:val="0"/>
          <w:szCs w:val="21"/>
        </w:rPr>
        <w:t>.2 确保样本完全均匀；</w:t>
      </w:r>
    </w:p>
    <w:p>
      <w:pPr>
        <w:autoSpaceDE w:val="0"/>
        <w:autoSpaceDN w:val="0"/>
        <w:adjustRightInd w:val="0"/>
        <w:snapToGrid w:val="0"/>
        <w:ind w:left="840" w:leftChars="400"/>
        <w:rPr>
          <w:rFonts w:ascii="TimesNewRomanPSMT" w:hAnsi="TimesNewRomanPSMT" w:cs="TimesNewRomanPSMT"/>
          <w:kern w:val="0"/>
          <w:szCs w:val="21"/>
        </w:rPr>
      </w:pPr>
      <w:r>
        <w:rPr>
          <w:rFonts w:ascii="TimesNewRomanPSMT" w:hAnsi="TimesNewRomanPSMT" w:cs="TimesNewRomanPSMT"/>
          <w:kern w:val="0"/>
          <w:szCs w:val="21"/>
        </w:rPr>
        <w:t>.</w:t>
      </w:r>
      <w:r>
        <w:rPr>
          <w:rFonts w:hint="eastAsia" w:ascii="TimesNewRomanPSMT" w:hAnsi="TimesNewRomanPSMT" w:cs="TimesNewRomanPSMT"/>
          <w:kern w:val="0"/>
          <w:szCs w:val="21"/>
        </w:rPr>
        <w:t>3</w:t>
      </w:r>
      <w:r>
        <w:rPr>
          <w:rFonts w:ascii="TimesNewRomanPSMT" w:hAnsi="TimesNewRomanPSMT" w:cs="TimesNewRomanPSMT"/>
          <w:kern w:val="0"/>
          <w:szCs w:val="21"/>
        </w:rPr>
        <w:t xml:space="preserve"> </w:t>
      </w:r>
      <w:r>
        <w:rPr>
          <w:rFonts w:hint="eastAsia" w:ascii="TimesNewRomanPSMT" w:hAnsi="TimesNewRomanPSMT" w:cs="TimesNewRomanPSMT"/>
          <w:kern w:val="0"/>
          <w:szCs w:val="21"/>
        </w:rPr>
        <w:t>从样本中取出两份小样；和</w:t>
      </w:r>
    </w:p>
    <w:p>
      <w:pPr>
        <w:autoSpaceDE w:val="0"/>
        <w:autoSpaceDN w:val="0"/>
        <w:adjustRightInd w:val="0"/>
        <w:snapToGrid w:val="0"/>
        <w:ind w:left="840" w:leftChars="400"/>
        <w:rPr>
          <w:rFonts w:ascii="TimesNewRomanPSMT" w:hAnsi="TimesNewRomanPSMT" w:cs="TimesNewRomanPSMT"/>
          <w:kern w:val="0"/>
          <w:szCs w:val="21"/>
        </w:rPr>
      </w:pPr>
      <w:r>
        <w:rPr>
          <w:rFonts w:ascii="TimesNewRomanPSMT" w:hAnsi="TimesNewRomanPSMT" w:cs="TimesNewRomanPSMT"/>
          <w:kern w:val="0"/>
          <w:szCs w:val="21"/>
        </w:rPr>
        <w:t>.</w:t>
      </w:r>
      <w:r>
        <w:rPr>
          <w:rFonts w:hint="eastAsia" w:ascii="TimesNewRomanPSMT" w:hAnsi="TimesNewRomanPSMT" w:cs="TimesNewRomanPSMT"/>
          <w:kern w:val="0"/>
          <w:szCs w:val="21"/>
        </w:rPr>
        <w:t>4</w:t>
      </w:r>
      <w:r>
        <w:rPr>
          <w:rFonts w:ascii="TimesNewRomanPSMT" w:hAnsi="TimesNewRomanPSMT" w:cs="TimesNewRomanPSMT"/>
          <w:kern w:val="0"/>
          <w:szCs w:val="21"/>
        </w:rPr>
        <w:t xml:space="preserve"> </w:t>
      </w:r>
      <w:r>
        <w:rPr>
          <w:rFonts w:hint="eastAsia" w:ascii="TimesNewRomanPSMT" w:hAnsi="TimesNewRomanPSMT" w:cs="TimesNewRomanPSMT"/>
          <w:kern w:val="0"/>
          <w:szCs w:val="21"/>
        </w:rPr>
        <w:t>重新密封样本并在试验记录中记入重新密封的详细信息。</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w:t>
      </w:r>
      <w:r>
        <w:rPr>
          <w:rFonts w:ascii="TimesNewRomanPSMT" w:hAnsi="TimesNewRomanPSMT" w:cs="TimesNewRomanPSMT"/>
          <w:kern w:val="0"/>
          <w:szCs w:val="21"/>
        </w:rPr>
        <w:t xml:space="preserve">.4 </w:t>
      </w:r>
      <w:r>
        <w:rPr>
          <w:rFonts w:hint="eastAsia" w:ascii="TimesNewRomanPSMT" w:hAnsi="TimesNewRomanPSMT" w:cs="TimesNewRomanPSMT"/>
          <w:kern w:val="0"/>
          <w:szCs w:val="21"/>
        </w:rPr>
        <w:t xml:space="preserve"> </w:t>
      </w:r>
      <w:r>
        <w:rPr>
          <w:rFonts w:hint="eastAsia" w:ascii="宋体" w:hAnsi="TimesNewRomanPSMT" w:cs="宋体"/>
          <w:kern w:val="0"/>
          <w:szCs w:val="21"/>
        </w:rPr>
        <w:t>应按本附则第</w:t>
      </w:r>
      <w:r>
        <w:rPr>
          <w:rFonts w:hint="eastAsia" w:ascii="TimesNewRomanPSMT" w:hAnsi="TimesNewRomanPSMT" w:cs="TimesNewRomanPSMT"/>
          <w:kern w:val="0"/>
          <w:szCs w:val="21"/>
        </w:rPr>
        <w:t>2.52条规定的</w:t>
      </w:r>
      <w:r>
        <w:rPr>
          <w:rFonts w:hint="eastAsia" w:ascii="宋体" w:hAnsi="TimesNewRomanPSMT" w:cs="宋体"/>
          <w:kern w:val="0"/>
          <w:szCs w:val="21"/>
        </w:rPr>
        <w:t>试验方法对两份小样依次进行试验。就</w:t>
      </w:r>
      <w:r>
        <w:rPr>
          <w:rFonts w:hint="eastAsia" w:ascii="宋体" w:cs="宋体"/>
          <w:kern w:val="0"/>
          <w:szCs w:val="21"/>
        </w:rPr>
        <w:t>第</w:t>
      </w:r>
      <w:r>
        <w:rPr>
          <w:rFonts w:hint="eastAsia" w:ascii="TimesNewRomanPSMT" w:hAnsi="TimesNewRomanPSMT" w:cs="TimesNewRomanPSMT"/>
          <w:kern w:val="0"/>
          <w:szCs w:val="21"/>
        </w:rPr>
        <w:t>2部分</w:t>
      </w:r>
      <w:r>
        <w:rPr>
          <w:rFonts w:hint="eastAsia" w:ascii="宋体" w:hAnsi="TimesNewRomanPSMT" w:cs="宋体"/>
          <w:kern w:val="0"/>
          <w:szCs w:val="21"/>
        </w:rPr>
        <w:t>验证程序而言，得到的结果应记为</w:t>
      </w:r>
      <w:r>
        <w:rPr>
          <w:rFonts w:hint="eastAsia" w:ascii="TimesNewRomanPSMT" w:hAnsi="TimesNewRomanPSMT" w:cs="TimesNewRomanPSMT"/>
          <w:kern w:val="0"/>
          <w:szCs w:val="21"/>
        </w:rPr>
        <w:t>“2</w:t>
      </w:r>
      <w:r>
        <w:rPr>
          <w:rFonts w:ascii="TimesNewRomanPSMT" w:hAnsi="TimesNewRomanPSMT" w:cs="TimesNewRomanPSMT"/>
          <w:kern w:val="0"/>
          <w:szCs w:val="21"/>
        </w:rPr>
        <w:t>A</w:t>
      </w:r>
      <w:r>
        <w:rPr>
          <w:rFonts w:hint="eastAsia" w:ascii="TimesNewRomanPSMT" w:hAnsi="TimesNewRomanPSMT" w:cs="TimesNewRomanPSMT"/>
          <w:kern w:val="0"/>
          <w:szCs w:val="21"/>
        </w:rPr>
        <w:t>”和“2</w:t>
      </w:r>
      <w:r>
        <w:rPr>
          <w:rFonts w:ascii="TimesNewRomanPSMT" w:hAnsi="TimesNewRomanPSMT" w:cs="TimesNewRomanPSMT"/>
          <w:kern w:val="0"/>
          <w:szCs w:val="21"/>
        </w:rPr>
        <w:t>B</w:t>
      </w:r>
      <w:r>
        <w:rPr>
          <w:rFonts w:hint="eastAsia" w:ascii="TimesNewRomanPSMT" w:hAnsi="TimesNewRomanPSMT" w:cs="TimesNewRomanPSMT"/>
          <w:kern w:val="0"/>
          <w:szCs w:val="21"/>
        </w:rPr>
        <w:t>”。</w:t>
      </w:r>
    </w:p>
    <w:p>
      <w:pPr>
        <w:autoSpaceDE w:val="0"/>
        <w:autoSpaceDN w:val="0"/>
        <w:adjustRightInd w:val="0"/>
        <w:snapToGrid w:val="0"/>
        <w:ind w:left="1050" w:leftChars="400" w:hanging="210" w:hangingChars="100"/>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应按试验方法的要求在试验记录中记录结果“2</w:t>
      </w:r>
      <w:r>
        <w:rPr>
          <w:rFonts w:ascii="TimesNewRomanPSMT" w:hAnsi="TimesNewRomanPSMT" w:cs="TimesNewRomanPSMT"/>
          <w:kern w:val="0"/>
          <w:szCs w:val="21"/>
        </w:rPr>
        <w:t>A</w:t>
      </w:r>
      <w:r>
        <w:rPr>
          <w:rFonts w:hint="eastAsia" w:ascii="TimesNewRomanPSMT" w:hAnsi="TimesNewRomanPSMT" w:cs="TimesNewRomanPSMT"/>
          <w:kern w:val="0"/>
          <w:szCs w:val="21"/>
        </w:rPr>
        <w:t>”和“2</w:t>
      </w:r>
      <w:r>
        <w:rPr>
          <w:rFonts w:ascii="TimesNewRomanPSMT" w:hAnsi="TimesNewRomanPSMT" w:cs="TimesNewRomanPSMT"/>
          <w:kern w:val="0"/>
          <w:szCs w:val="21"/>
        </w:rPr>
        <w:t>B</w:t>
      </w:r>
      <w:r>
        <w:rPr>
          <w:rFonts w:hint="eastAsia" w:ascii="TimesNewRomanPSMT" w:hAnsi="TimesNewRomanPSMT" w:cs="TimesNewRomanPSMT"/>
          <w:kern w:val="0"/>
          <w:szCs w:val="21"/>
        </w:rPr>
        <w:t>”；和</w:t>
      </w:r>
    </w:p>
    <w:p>
      <w:pPr>
        <w:autoSpaceDE w:val="0"/>
        <w:autoSpaceDN w:val="0"/>
        <w:adjustRightInd w:val="0"/>
        <w:snapToGrid w:val="0"/>
        <w:ind w:left="1050" w:leftChars="400" w:hanging="210" w:hangingChars="100"/>
        <w:rPr>
          <w:rFonts w:ascii="TimesNewRomanPSMT" w:hAnsi="TimesNewRomanPSMT" w:cs="TimesNewRomanPSMT"/>
          <w:kern w:val="0"/>
          <w:szCs w:val="21"/>
        </w:rPr>
      </w:pPr>
      <w:r>
        <w:rPr>
          <w:rFonts w:hint="eastAsia" w:ascii="TimesNewRomanPSMT" w:hAnsi="TimesNewRomanPSMT" w:cs="TimesNewRomanPSMT"/>
          <w:kern w:val="0"/>
          <w:szCs w:val="21"/>
        </w:rPr>
        <w:t>.2 如结果“2</w:t>
      </w:r>
      <w:r>
        <w:rPr>
          <w:rFonts w:ascii="TimesNewRomanPSMT" w:hAnsi="TimesNewRomanPSMT" w:cs="TimesNewRomanPSMT"/>
          <w:kern w:val="0"/>
          <w:szCs w:val="21"/>
        </w:rPr>
        <w:t>A</w:t>
      </w:r>
      <w:r>
        <w:rPr>
          <w:rFonts w:hint="eastAsia" w:ascii="TimesNewRomanPSMT" w:hAnsi="TimesNewRomanPSMT" w:cs="TimesNewRomanPSMT"/>
          <w:kern w:val="0"/>
          <w:szCs w:val="21"/>
        </w:rPr>
        <w:t>”和“2</w:t>
      </w:r>
      <w:r>
        <w:rPr>
          <w:rFonts w:ascii="TimesNewRomanPSMT" w:hAnsi="TimesNewRomanPSMT" w:cs="TimesNewRomanPSMT"/>
          <w:kern w:val="0"/>
          <w:szCs w:val="21"/>
        </w:rPr>
        <w:t>B</w:t>
      </w:r>
      <w:r>
        <w:rPr>
          <w:rFonts w:hint="eastAsia" w:ascii="TimesNewRomanPSMT" w:hAnsi="TimesNewRomanPSMT" w:cs="TimesNewRomanPSMT"/>
          <w:kern w:val="0"/>
          <w:szCs w:val="21"/>
        </w:rPr>
        <w:t>”在试验方法的可重复性（</w:t>
      </w:r>
      <w:r>
        <w:rPr>
          <w:rFonts w:ascii="TimesNewRomanPSMT" w:hAnsi="TimesNewRomanPSMT" w:cs="TimesNewRomanPSMT"/>
          <w:kern w:val="0"/>
          <w:szCs w:val="21"/>
        </w:rPr>
        <w:t>r</w:t>
      </w:r>
      <w:r>
        <w:rPr>
          <w:rFonts w:hint="eastAsia" w:ascii="TimesNewRomanPSMT" w:hAnsi="TimesNewRomanPSMT" w:cs="TimesNewRomanPSMT"/>
          <w:kern w:val="0"/>
          <w:szCs w:val="21"/>
        </w:rPr>
        <w:t>）</w:t>
      </w:r>
      <w:r>
        <w:rPr>
          <w:rStyle w:val="33"/>
          <w:rFonts w:ascii="TimesNewRomanPSMT" w:hAnsi="TimesNewRomanPSMT" w:cs="TimesNewRomanPSMT"/>
          <w:kern w:val="0"/>
          <w:szCs w:val="21"/>
        </w:rPr>
        <w:footnoteReference w:id="51"/>
      </w:r>
      <w:r>
        <w:rPr>
          <w:rFonts w:hint="eastAsia" w:ascii="TimesNewRomanPSMT" w:hAnsi="TimesNewRomanPSMT" w:cs="TimesNewRomanPSMT"/>
          <w:kern w:val="0"/>
          <w:szCs w:val="21"/>
        </w:rPr>
        <w:t>范围内，则结果应视为有效；或</w:t>
      </w:r>
    </w:p>
    <w:p>
      <w:pPr>
        <w:autoSpaceDE w:val="0"/>
        <w:autoSpaceDN w:val="0"/>
        <w:adjustRightInd w:val="0"/>
        <w:snapToGrid w:val="0"/>
        <w:ind w:left="1058" w:leftChars="404" w:hanging="210" w:hangingChars="100"/>
        <w:rPr>
          <w:rFonts w:ascii="宋体" w:hAnsi="TimesNewRomanPSMT" w:cs="宋体"/>
          <w:kern w:val="0"/>
          <w:szCs w:val="21"/>
        </w:rPr>
      </w:pPr>
      <w:r>
        <w:rPr>
          <w:rFonts w:ascii="TimesNewRomanPSMT" w:hAnsi="TimesNewRomanPSMT" w:cs="TimesNewRomanPSMT"/>
          <w:kern w:val="0"/>
          <w:szCs w:val="21"/>
        </w:rPr>
        <w:t>.</w:t>
      </w:r>
      <w:r>
        <w:rPr>
          <w:rFonts w:hint="eastAsia" w:ascii="TimesNewRomanPSMT" w:hAnsi="TimesNewRomanPSMT" w:cs="TimesNewRomanPSMT"/>
          <w:kern w:val="0"/>
          <w:szCs w:val="21"/>
        </w:rPr>
        <w:t>3</w:t>
      </w:r>
      <w:r>
        <w:rPr>
          <w:rFonts w:ascii="TimesNewRomanPSMT" w:hAnsi="TimesNewRomanPSMT" w:cs="TimesNewRomanPSMT"/>
          <w:kern w:val="0"/>
          <w:szCs w:val="21"/>
        </w:rPr>
        <w:t xml:space="preserve"> </w:t>
      </w:r>
      <w:r>
        <w:rPr>
          <w:rFonts w:hint="eastAsia" w:ascii="TimesNewRomanPSMT" w:hAnsi="TimesNewRomanPSMT" w:cs="TimesNewRomanPSMT"/>
          <w:kern w:val="0"/>
          <w:szCs w:val="21"/>
        </w:rPr>
        <w:t>如结果“2</w:t>
      </w:r>
      <w:r>
        <w:rPr>
          <w:rFonts w:ascii="TimesNewRomanPSMT" w:hAnsi="TimesNewRomanPSMT" w:cs="TimesNewRomanPSMT"/>
          <w:kern w:val="0"/>
          <w:szCs w:val="21"/>
        </w:rPr>
        <w:t>A</w:t>
      </w:r>
      <w:r>
        <w:rPr>
          <w:rFonts w:hint="eastAsia" w:ascii="TimesNewRomanPSMT" w:hAnsi="TimesNewRomanPSMT" w:cs="TimesNewRomanPSMT"/>
          <w:kern w:val="0"/>
          <w:szCs w:val="21"/>
        </w:rPr>
        <w:t>”和“2</w:t>
      </w:r>
      <w:r>
        <w:rPr>
          <w:rFonts w:ascii="TimesNewRomanPSMT" w:hAnsi="TimesNewRomanPSMT" w:cs="TimesNewRomanPSMT"/>
          <w:kern w:val="0"/>
          <w:szCs w:val="21"/>
        </w:rPr>
        <w:t>B</w:t>
      </w:r>
      <w:r>
        <w:rPr>
          <w:rFonts w:hint="eastAsia" w:ascii="TimesNewRomanPSMT" w:hAnsi="TimesNewRomanPSMT" w:cs="TimesNewRomanPSMT"/>
          <w:kern w:val="0"/>
          <w:szCs w:val="21"/>
        </w:rPr>
        <w:t>”不在试验方法的可重复性（</w:t>
      </w:r>
      <w:r>
        <w:rPr>
          <w:rFonts w:ascii="TimesNewRomanPSMT" w:hAnsi="TimesNewRomanPSMT" w:cs="TimesNewRomanPSMT"/>
          <w:kern w:val="0"/>
          <w:szCs w:val="21"/>
        </w:rPr>
        <w:t>r</w:t>
      </w:r>
      <w:r>
        <w:rPr>
          <w:rFonts w:hint="eastAsia" w:ascii="TimesNewRomanPSMT" w:hAnsi="TimesNewRomanPSMT" w:cs="TimesNewRomanPSMT"/>
          <w:kern w:val="0"/>
          <w:szCs w:val="21"/>
        </w:rPr>
        <w:t>）范围内，则两个结果均应放弃，并应由实验室重新提取两份小样进行试验。提取了新小样后，样本瓶应</w:t>
      </w:r>
      <w:r>
        <w:rPr>
          <w:rFonts w:hint="eastAsia" w:ascii="宋体" w:hAnsi="TimesNewRomanPSMT" w:cs="宋体"/>
          <w:kern w:val="0"/>
          <w:szCs w:val="21"/>
        </w:rPr>
        <w:t>按上述</w:t>
      </w:r>
      <w:r>
        <w:rPr>
          <w:rFonts w:hint="eastAsia" w:ascii="TimesNewRomanPSMT" w:hAnsi="TimesNewRomanPSMT" w:cs="TimesNewRomanPSMT"/>
          <w:kern w:val="0"/>
          <w:szCs w:val="21"/>
        </w:rPr>
        <w:t>4</w:t>
      </w:r>
      <w:r>
        <w:rPr>
          <w:rFonts w:ascii="TimesNewRomanPSMT" w:hAnsi="TimesNewRomanPSMT" w:cs="TimesNewRomanPSMT"/>
          <w:kern w:val="0"/>
          <w:szCs w:val="21"/>
        </w:rPr>
        <w:t>.3.</w:t>
      </w:r>
      <w:r>
        <w:rPr>
          <w:rFonts w:hint="eastAsia" w:ascii="TimesNewRomanPSMT" w:hAnsi="TimesNewRomanPSMT" w:cs="TimesNewRomanPSMT"/>
          <w:kern w:val="0"/>
          <w:szCs w:val="21"/>
        </w:rPr>
        <w:t>4</w:t>
      </w:r>
      <w:r>
        <w:rPr>
          <w:rFonts w:hint="eastAsia" w:ascii="宋体" w:hAnsi="TimesNewRomanPSMT" w:cs="宋体"/>
          <w:kern w:val="0"/>
          <w:szCs w:val="21"/>
        </w:rPr>
        <w:t>重新密封。</w:t>
      </w:r>
    </w:p>
    <w:p>
      <w:pPr>
        <w:autoSpaceDE w:val="0"/>
        <w:autoSpaceDN w:val="0"/>
        <w:adjustRightInd w:val="0"/>
        <w:snapToGrid w:val="0"/>
        <w:ind w:left="1050" w:leftChars="400" w:hanging="210" w:hangingChars="100"/>
        <w:rPr>
          <w:rFonts w:ascii="TimesNewRomanPSMT" w:hAnsi="TimesNewRomanPSMT" w:cs="TimesNewRomanPSMT"/>
          <w:kern w:val="0"/>
          <w:szCs w:val="21"/>
        </w:rPr>
      </w:pPr>
      <w:r>
        <w:rPr>
          <w:rFonts w:hint="eastAsia" w:ascii="TimesNewRomanPSMT" w:hAnsi="TimesNewRomanPSMT" w:cs="TimesNewRomanPSMT"/>
          <w:kern w:val="0"/>
          <w:szCs w:val="21"/>
        </w:rPr>
        <w:t>.4 如果在“2</w:t>
      </w:r>
      <w:r>
        <w:rPr>
          <w:rFonts w:ascii="TimesNewRomanPSMT" w:hAnsi="TimesNewRomanPSMT" w:cs="TimesNewRomanPSMT"/>
          <w:kern w:val="0"/>
          <w:szCs w:val="21"/>
        </w:rPr>
        <w:t>A</w:t>
      </w:r>
      <w:r>
        <w:rPr>
          <w:rFonts w:hint="eastAsia" w:ascii="TimesNewRomanPSMT" w:hAnsi="TimesNewRomanPSMT" w:cs="TimesNewRomanPSMT"/>
          <w:kern w:val="0"/>
          <w:szCs w:val="21"/>
        </w:rPr>
        <w:t>”和“2</w:t>
      </w:r>
      <w:r>
        <w:rPr>
          <w:rFonts w:ascii="TimesNewRomanPSMT" w:hAnsi="TimesNewRomanPSMT" w:cs="TimesNewRomanPSMT"/>
          <w:kern w:val="0"/>
          <w:szCs w:val="21"/>
        </w:rPr>
        <w:t>B</w:t>
      </w:r>
      <w:r>
        <w:rPr>
          <w:rFonts w:hint="eastAsia" w:ascii="TimesNewRomanPSMT" w:hAnsi="TimesNewRomanPSMT" w:cs="TimesNewRomanPSMT"/>
          <w:kern w:val="0"/>
          <w:szCs w:val="21"/>
        </w:rPr>
        <w:t>”之间实现可重复性失败两次，实验室应调查失败原因并在继续样本试验前解决问题。在解决可重复性问题后，应按4.3提取</w:t>
      </w:r>
      <w:r>
        <w:rPr>
          <w:rFonts w:hint="eastAsia" w:ascii="宋体" w:hAnsi="TimesNewRomanPSMT" w:cs="宋体"/>
          <w:kern w:val="0"/>
          <w:szCs w:val="21"/>
        </w:rPr>
        <w:t>两份</w:t>
      </w:r>
      <w:r>
        <w:rPr>
          <w:rFonts w:hint="eastAsia" w:ascii="TimesNewRomanPSMT" w:hAnsi="TimesNewRomanPSMT" w:cs="TimesNewRomanPSMT"/>
          <w:kern w:val="0"/>
          <w:szCs w:val="21"/>
        </w:rPr>
        <w:t>新小样。提取了新小样后，样本瓶应</w:t>
      </w:r>
      <w:r>
        <w:rPr>
          <w:rFonts w:hint="eastAsia" w:ascii="宋体" w:hAnsi="TimesNewRomanPSMT" w:cs="宋体"/>
          <w:kern w:val="0"/>
          <w:szCs w:val="21"/>
        </w:rPr>
        <w:t>按上述</w:t>
      </w:r>
      <w:r>
        <w:rPr>
          <w:rFonts w:hint="eastAsia" w:ascii="TimesNewRomanPSMT" w:hAnsi="TimesNewRomanPSMT" w:cs="TimesNewRomanPSMT"/>
          <w:kern w:val="0"/>
          <w:szCs w:val="21"/>
        </w:rPr>
        <w:t>4</w:t>
      </w:r>
      <w:r>
        <w:rPr>
          <w:rFonts w:ascii="TimesNewRomanPSMT" w:hAnsi="TimesNewRomanPSMT" w:cs="TimesNewRomanPSMT"/>
          <w:kern w:val="0"/>
          <w:szCs w:val="21"/>
        </w:rPr>
        <w:t>.3.</w:t>
      </w:r>
      <w:r>
        <w:rPr>
          <w:rFonts w:hint="eastAsia" w:ascii="TimesNewRomanPSMT" w:hAnsi="TimesNewRomanPSMT" w:cs="TimesNewRomanPSMT"/>
          <w:kern w:val="0"/>
          <w:szCs w:val="21"/>
        </w:rPr>
        <w:t>4</w:t>
      </w:r>
      <w:r>
        <w:rPr>
          <w:rFonts w:hint="eastAsia" w:ascii="宋体" w:hAnsi="TimesNewRomanPSMT" w:cs="宋体"/>
          <w:kern w:val="0"/>
          <w:szCs w:val="21"/>
        </w:rPr>
        <w:t>重新密封。</w:t>
      </w:r>
    </w:p>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w:t>
      </w:r>
      <w:r>
        <w:rPr>
          <w:rFonts w:ascii="TimesNewRomanPSMT" w:hAnsi="TimesNewRomanPSMT" w:cs="TimesNewRomanPSMT"/>
          <w:kern w:val="0"/>
          <w:szCs w:val="21"/>
        </w:rPr>
        <w:t xml:space="preserve">.5 </w:t>
      </w:r>
      <w:r>
        <w:rPr>
          <w:rFonts w:hint="eastAsia" w:ascii="TimesNewRomanPSMT" w:hAnsi="TimesNewRomanPSMT" w:cs="TimesNewRomanPSMT"/>
          <w:kern w:val="0"/>
          <w:szCs w:val="21"/>
        </w:rPr>
        <w:t>如试验结果“2</w:t>
      </w:r>
      <w:r>
        <w:rPr>
          <w:rFonts w:ascii="TimesNewRomanPSMT" w:hAnsi="TimesNewRomanPSMT" w:cs="TimesNewRomanPSMT"/>
          <w:kern w:val="0"/>
          <w:szCs w:val="21"/>
        </w:rPr>
        <w:t>A</w:t>
      </w:r>
      <w:r>
        <w:rPr>
          <w:rFonts w:hint="eastAsia" w:ascii="TimesNewRomanPSMT" w:hAnsi="TimesNewRomanPSMT" w:cs="TimesNewRomanPSMT"/>
          <w:kern w:val="0"/>
          <w:szCs w:val="21"/>
        </w:rPr>
        <w:t>”和“2</w:t>
      </w:r>
      <w:r>
        <w:rPr>
          <w:rFonts w:ascii="TimesNewRomanPSMT" w:hAnsi="TimesNewRomanPSMT" w:cs="TimesNewRomanPSMT"/>
          <w:kern w:val="0"/>
          <w:szCs w:val="21"/>
        </w:rPr>
        <w:t>B</w:t>
      </w:r>
      <w:r>
        <w:rPr>
          <w:rFonts w:hint="eastAsia" w:ascii="TimesNewRomanPSMT" w:hAnsi="TimesNewRomanPSMT" w:cs="TimesNewRomanPSMT"/>
          <w:kern w:val="0"/>
          <w:szCs w:val="21"/>
        </w:rPr>
        <w:t>”有效，应计算这两个结果的平均值。平均值应为“Z”并记录在试验记录中：</w:t>
      </w:r>
    </w:p>
    <w:p>
      <w:pPr>
        <w:autoSpaceDE w:val="0"/>
        <w:autoSpaceDN w:val="0"/>
        <w:adjustRightInd w:val="0"/>
        <w:snapToGrid w:val="0"/>
        <w:ind w:left="1071" w:leftChars="400" w:hanging="231" w:hangingChars="110"/>
        <w:rPr>
          <w:rFonts w:ascii="TimesNewRomanPSMT" w:hAnsi="TimesNewRomanPSMT" w:cs="TimesNewRomanPSMT"/>
          <w:kern w:val="0"/>
          <w:szCs w:val="21"/>
        </w:rPr>
      </w:pPr>
      <w:r>
        <w:rPr>
          <w:rFonts w:ascii="TimesNewRomanPSMT" w:hAnsi="TimesNewRomanPSMT" w:cs="TimesNewRomanPSMT"/>
          <w:kern w:val="0"/>
          <w:szCs w:val="21"/>
        </w:rPr>
        <w:t xml:space="preserve">.1 </w:t>
      </w:r>
      <w:r>
        <w:rPr>
          <w:rFonts w:hint="eastAsia" w:ascii="TimesNewRomanPSMT" w:hAnsi="TimesNewRomanPSMT" w:cs="TimesNewRomanPSMT"/>
          <w:kern w:val="0"/>
          <w:szCs w:val="21"/>
        </w:rPr>
        <w:t>如“Z”等于或低于第14条要求的适用限值，则由试验样本代表的燃油的硫含量应视为符合要求；或</w:t>
      </w:r>
    </w:p>
    <w:p>
      <w:pPr>
        <w:autoSpaceDE w:val="0"/>
        <w:autoSpaceDN w:val="0"/>
        <w:adjustRightInd w:val="0"/>
        <w:snapToGrid w:val="0"/>
        <w:ind w:left="1071" w:leftChars="400" w:hanging="231" w:hangingChars="110"/>
        <w:rPr>
          <w:rFonts w:ascii="TimesNewRomanPSMT" w:hAnsi="TimesNewRomanPSMT" w:cs="TimesNewRomanPSMT"/>
          <w:kern w:val="0"/>
          <w:szCs w:val="21"/>
        </w:rPr>
      </w:pPr>
      <w:r>
        <w:rPr>
          <w:rFonts w:hint="eastAsia" w:ascii="TimesNewRomanPSMT" w:hAnsi="TimesNewRomanPSMT" w:cs="TimesNewRomanPSMT"/>
          <w:kern w:val="0"/>
          <w:szCs w:val="21"/>
        </w:rPr>
        <w:t>.2 如“Z”高于第14条要求的适用限值但低于或等于该适用限值+0.59R（式中R为试验方法的再现性）</w:t>
      </w:r>
      <w:r>
        <w:rPr>
          <w:rStyle w:val="33"/>
          <w:rFonts w:ascii="TimesNewRomanPSMT" w:hAnsi="TimesNewRomanPSMT" w:cs="TimesNewRomanPSMT"/>
          <w:kern w:val="0"/>
          <w:szCs w:val="21"/>
        </w:rPr>
        <w:footnoteReference w:id="52"/>
      </w:r>
      <w:r>
        <w:rPr>
          <w:rFonts w:hint="eastAsia" w:ascii="TimesNewRomanPSMT" w:hAnsi="TimesNewRomanPSMT" w:cs="TimesNewRomanPSMT"/>
          <w:kern w:val="0"/>
          <w:szCs w:val="21"/>
        </w:rPr>
        <w:t>，则由试验样本代表的燃油的硫含量应视为符合要求；或</w:t>
      </w:r>
    </w:p>
    <w:p>
      <w:pPr>
        <w:autoSpaceDE w:val="0"/>
        <w:autoSpaceDN w:val="0"/>
        <w:adjustRightInd w:val="0"/>
        <w:snapToGrid w:val="0"/>
        <w:ind w:left="1071" w:leftChars="400" w:hanging="231" w:hangingChars="110"/>
        <w:rPr>
          <w:rFonts w:ascii="TimesNewRomanPSMT" w:hAnsi="TimesNewRomanPSMT" w:cs="TimesNewRomanPSMT"/>
          <w:kern w:val="0"/>
          <w:szCs w:val="21"/>
        </w:rPr>
      </w:pPr>
      <w:r>
        <w:rPr>
          <w:rFonts w:hint="eastAsia" w:ascii="TimesNewRomanPSMT" w:hAnsi="TimesNewRomanPSMT" w:cs="TimesNewRomanPSMT"/>
          <w:kern w:val="0"/>
          <w:szCs w:val="21"/>
        </w:rPr>
        <w:t>.3 如“Z”高于第14条要求的适用限值+0.59R，则由试验样本代表的燃油的硫含量应视为不符合要求。</w:t>
      </w:r>
    </w:p>
    <w:p>
      <w:pPr>
        <w:autoSpaceDE w:val="0"/>
        <w:autoSpaceDN w:val="0"/>
        <w:adjustRightInd w:val="0"/>
        <w:snapToGrid w:val="0"/>
        <w:ind w:firstLine="840" w:firstLineChars="400"/>
        <w:rPr>
          <w:rFonts w:ascii="TimesNewRomanPSMT" w:hAnsi="TimesNewRomanPSMT" w:cs="TimesNewRomanPSMT"/>
          <w:kern w:val="0"/>
          <w:szCs w:val="21"/>
        </w:rPr>
      </w:pPr>
    </w:p>
    <w:p>
      <w:pPr>
        <w:autoSpaceDE w:val="0"/>
        <w:autoSpaceDN w:val="0"/>
        <w:adjustRightInd w:val="0"/>
        <w:snapToGrid w:val="0"/>
        <w:ind w:firstLine="426" w:firstLineChars="202"/>
        <w:jc w:val="center"/>
        <w:rPr>
          <w:rFonts w:ascii="TimesNewRomanPSMT" w:hAnsi="TimesNewRomanPSMT" w:cs="TimesNewRomanPSMT"/>
          <w:b/>
          <w:kern w:val="0"/>
          <w:szCs w:val="21"/>
        </w:rPr>
      </w:pPr>
      <w:r>
        <w:rPr>
          <w:rFonts w:hint="eastAsia" w:ascii="TimesNewRomanPSMT" w:hAnsi="TimesNewRomanPSMT" w:cs="TimesNewRomanPSMT"/>
          <w:b/>
          <w:kern w:val="0"/>
          <w:szCs w:val="21"/>
        </w:rPr>
        <w:t xml:space="preserve">表2 </w:t>
      </w:r>
      <w:r>
        <w:rPr>
          <w:rFonts w:hint="eastAsia" w:ascii="宋体" w:cs="宋体"/>
          <w:b/>
          <w:kern w:val="0"/>
          <w:szCs w:val="21"/>
        </w:rPr>
        <w:t>在用或船上</w:t>
      </w:r>
      <w:r>
        <w:rPr>
          <w:rFonts w:hint="eastAsia" w:ascii="TimesNewRomanPSMT" w:hAnsi="TimesNewRomanPSMT" w:cs="TimesNewRomanPSMT"/>
          <w:b/>
          <w:kern w:val="0"/>
          <w:szCs w:val="21"/>
        </w:rPr>
        <w:t>样本程序总结</w:t>
      </w:r>
      <w:r>
        <w:rPr>
          <w:rStyle w:val="33"/>
          <w:rFonts w:ascii="TimesNewRomanPSMT" w:hAnsi="TimesNewRomanPSMT" w:cs="TimesNewRomanPSMT"/>
          <w:kern w:val="0"/>
          <w:szCs w:val="21"/>
        </w:rPr>
        <w:footnoteReference w:id="53"/>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根据本附则第2.52条提及的试验方法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适用极限值% m/m：V</w:t>
            </w:r>
          </w:p>
        </w:tc>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试验</w:t>
            </w:r>
            <w:r>
              <w:rPr>
                <w:rFonts w:ascii="TimesNewRomanPSMT" w:hAnsi="TimesNewRomanPSMT" w:cs="TimesNewRomanPSMT"/>
                <w:kern w:val="0"/>
                <w:szCs w:val="21"/>
              </w:rPr>
              <w:t>裕量</w:t>
            </w:r>
            <w:r>
              <w:rPr>
                <w:rFonts w:hint="eastAsia" w:ascii="TimesNewRomanPSMT" w:hAnsi="TimesNewRomanPSMT" w:cs="TimesNewRomanPSMT"/>
                <w:kern w:val="0"/>
                <w:szCs w:val="21"/>
              </w:rPr>
              <w:t>值：W</w:t>
            </w:r>
          </w:p>
        </w:tc>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结果4.5.1：Z</w:t>
            </w:r>
            <w:r>
              <w:rPr>
                <w:rFonts w:ascii="TimesNewRomanPSMT" w:hAnsi="TimesNewRomanPSMT" w:cs="TimesNewRomanPSMT"/>
                <w:kern w:val="0"/>
                <w:szCs w:val="21"/>
              </w:rPr>
              <w:t xml:space="preserve"> ≤ V</w:t>
            </w:r>
          </w:p>
        </w:tc>
        <w:tc>
          <w:tcPr>
            <w:tcW w:w="1705" w:type="dxa"/>
          </w:tcPr>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结果4.5.2：V&lt;Z</w:t>
            </w:r>
            <w:r>
              <w:rPr>
                <w:rFonts w:ascii="TimesNewRomanPSMT" w:hAnsi="TimesNewRomanPSMT" w:cs="TimesNewRomanPSMT"/>
                <w:kern w:val="0"/>
                <w:szCs w:val="21"/>
              </w:rPr>
              <w:t>≤</w:t>
            </w:r>
            <w:r>
              <w:rPr>
                <w:rFonts w:hint="eastAsia" w:ascii="TimesNewRomanPSMT" w:hAnsi="TimesNewRomanPSMT" w:cs="TimesNewRomanPSMT"/>
                <w:kern w:val="0"/>
                <w:szCs w:val="21"/>
              </w:rPr>
              <w:t>W</w:t>
            </w:r>
          </w:p>
        </w:tc>
        <w:tc>
          <w:tcPr>
            <w:tcW w:w="1705" w:type="dxa"/>
          </w:tcPr>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结果4.5.3：Z</w:t>
            </w:r>
            <w:r>
              <w:rPr>
                <w:rFonts w:ascii="TimesNewRomanPSMT" w:hAnsi="TimesNewRomanPSMT" w:cs="TimesNewRomanPSMT"/>
                <w:kern w:val="0"/>
                <w:szCs w:val="21"/>
              </w:rPr>
              <w:t xml:space="preserve"> &gt; </w:t>
            </w:r>
            <w:r>
              <w:rPr>
                <w:rFonts w:hint="eastAsia" w:ascii="TimesNewRomanPSMT" w:hAnsi="TimesNewRomanPSMT" w:cs="TimesNewRomanPSMT"/>
                <w:kern w:val="0"/>
                <w:szCs w:val="21"/>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0.10</w:t>
            </w:r>
          </w:p>
        </w:tc>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0.11</w:t>
            </w:r>
          </w:p>
        </w:tc>
        <w:tc>
          <w:tcPr>
            <w:tcW w:w="1704" w:type="dxa"/>
            <w:vMerge w:val="restart"/>
          </w:tcPr>
          <w:p>
            <w:pPr>
              <w:adjustRightInd w:val="0"/>
              <w:snapToGrid w:val="0"/>
            </w:pPr>
            <w:r>
              <w:rPr>
                <w:rFonts w:hint="eastAsia" w:ascii="TimesNewRomanPSMT" w:hAnsi="TimesNewRomanPSMT" w:cs="TimesNewRomanPSMT"/>
                <w:kern w:val="0"/>
                <w:szCs w:val="21"/>
              </w:rPr>
              <w:t>满足要求</w:t>
            </w:r>
          </w:p>
        </w:tc>
        <w:tc>
          <w:tcPr>
            <w:tcW w:w="1705" w:type="dxa"/>
            <w:vMerge w:val="restart"/>
          </w:tcPr>
          <w:p>
            <w:pPr>
              <w:adjustRightInd w:val="0"/>
              <w:snapToGrid w:val="0"/>
              <w:ind w:firstLine="424" w:firstLineChars="202"/>
            </w:pPr>
            <w:r>
              <w:rPr>
                <w:rFonts w:hint="eastAsia" w:ascii="TimesNewRomanPSMT" w:hAnsi="TimesNewRomanPSMT" w:cs="TimesNewRomanPSMT"/>
                <w:kern w:val="0"/>
                <w:szCs w:val="21"/>
              </w:rPr>
              <w:t>满足要求</w:t>
            </w:r>
          </w:p>
        </w:tc>
        <w:tc>
          <w:tcPr>
            <w:tcW w:w="1705" w:type="dxa"/>
            <w:vMerge w:val="restart"/>
          </w:tcPr>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不满足要求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0.50</w:t>
            </w:r>
          </w:p>
        </w:tc>
        <w:tc>
          <w:tcPr>
            <w:tcW w:w="1704" w:type="dxa"/>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0.53</w:t>
            </w:r>
          </w:p>
        </w:tc>
        <w:tc>
          <w:tcPr>
            <w:tcW w:w="1704" w:type="dxa"/>
            <w:vMerge w:val="continue"/>
          </w:tcPr>
          <w:p>
            <w:pPr>
              <w:autoSpaceDE w:val="0"/>
              <w:autoSpaceDN w:val="0"/>
              <w:adjustRightInd w:val="0"/>
              <w:snapToGrid w:val="0"/>
              <w:rPr>
                <w:rFonts w:ascii="TimesNewRomanPSMT" w:hAnsi="TimesNewRomanPSMT" w:cs="TimesNewRomanPSMT"/>
                <w:kern w:val="0"/>
                <w:szCs w:val="21"/>
              </w:rPr>
            </w:pPr>
          </w:p>
        </w:tc>
        <w:tc>
          <w:tcPr>
            <w:tcW w:w="1705" w:type="dxa"/>
            <w:vMerge w:val="continue"/>
          </w:tcPr>
          <w:p>
            <w:pPr>
              <w:autoSpaceDE w:val="0"/>
              <w:autoSpaceDN w:val="0"/>
              <w:adjustRightInd w:val="0"/>
              <w:snapToGrid w:val="0"/>
              <w:ind w:firstLine="424" w:firstLineChars="202"/>
              <w:rPr>
                <w:rFonts w:ascii="TimesNewRomanPSMT" w:hAnsi="TimesNewRomanPSMT" w:cs="TimesNewRomanPSMT"/>
                <w:kern w:val="0"/>
                <w:szCs w:val="21"/>
              </w:rPr>
            </w:pPr>
          </w:p>
        </w:tc>
        <w:tc>
          <w:tcPr>
            <w:tcW w:w="1705" w:type="dxa"/>
            <w:vMerge w:val="continue"/>
          </w:tcPr>
          <w:p>
            <w:pPr>
              <w:autoSpaceDE w:val="0"/>
              <w:autoSpaceDN w:val="0"/>
              <w:adjustRightInd w:val="0"/>
              <w:snapToGrid w:val="0"/>
              <w:ind w:firstLine="424" w:firstLineChars="202"/>
              <w:rPr>
                <w:rFonts w:ascii="TimesNewRomanPSMT" w:hAnsi="TimesNewRomanPSMT" w:cs="TimesNewRomanPSMT"/>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autoSpaceDE w:val="0"/>
              <w:autoSpaceDN w:val="0"/>
              <w:adjustRightInd w:val="0"/>
              <w:snapToGrid w:val="0"/>
              <w:rPr>
                <w:rFonts w:ascii="TimesNewRomanPSMT" w:hAnsi="TimesNewRomanPSMT" w:cs="TimesNewRomanPSMT"/>
                <w:kern w:val="0"/>
                <w:szCs w:val="21"/>
              </w:rPr>
            </w:pPr>
          </w:p>
        </w:tc>
        <w:tc>
          <w:tcPr>
            <w:tcW w:w="1704" w:type="dxa"/>
          </w:tcPr>
          <w:p>
            <w:pPr>
              <w:autoSpaceDE w:val="0"/>
              <w:autoSpaceDN w:val="0"/>
              <w:adjustRightInd w:val="0"/>
              <w:snapToGrid w:val="0"/>
              <w:rPr>
                <w:rFonts w:ascii="TimesNewRomanPSMT" w:hAnsi="TimesNewRomanPSMT" w:cs="TimesNewRomanPSMT"/>
                <w:kern w:val="0"/>
                <w:szCs w:val="21"/>
              </w:rPr>
            </w:pPr>
          </w:p>
        </w:tc>
        <w:tc>
          <w:tcPr>
            <w:tcW w:w="5114" w:type="dxa"/>
            <w:gridSpan w:val="3"/>
          </w:tcPr>
          <w:p>
            <w:pPr>
              <w:autoSpaceDE w:val="0"/>
              <w:autoSpaceDN w:val="0"/>
              <w:adjustRightInd w:val="0"/>
              <w:snapToGrid w:val="0"/>
              <w:rPr>
                <w:rFonts w:ascii="TimesNewRomanPSMT" w:hAnsi="TimesNewRomanPSMT" w:cs="TimesNewRomanPSMT"/>
                <w:kern w:val="0"/>
                <w:szCs w:val="21"/>
              </w:rPr>
            </w:pPr>
            <w:r>
              <w:rPr>
                <w:rFonts w:hint="eastAsia" w:ascii="TimesNewRomanPSMT" w:hAnsi="TimesNewRomanPSMT" w:cs="TimesNewRomanPSMT"/>
                <w:kern w:val="0"/>
                <w:szCs w:val="21"/>
              </w:rPr>
              <w:t>结果“Z”保留2位小数</w:t>
            </w:r>
          </w:p>
        </w:tc>
      </w:tr>
    </w:tbl>
    <w:p>
      <w:pPr>
        <w:autoSpaceDE w:val="0"/>
        <w:autoSpaceDN w:val="0"/>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4.6  本验证程序获得的最终结果应由主管当局评估。</w:t>
      </w:r>
    </w:p>
    <w:p>
      <w:pPr>
        <w:adjustRightInd w:val="0"/>
        <w:snapToGrid w:val="0"/>
        <w:ind w:firstLine="424" w:firstLineChars="202"/>
        <w:rPr>
          <w:rFonts w:ascii="TimesNewRomanPSMT" w:hAnsi="TimesNewRomanPSMT" w:cs="TimesNewRomanPSMT"/>
          <w:kern w:val="0"/>
          <w:szCs w:val="21"/>
        </w:rPr>
      </w:pPr>
      <w:r>
        <w:rPr>
          <w:rFonts w:hint="eastAsia" w:ascii="TimesNewRomanPSMT" w:hAnsi="TimesNewRomanPSMT" w:cs="TimesNewRomanPSMT"/>
          <w:kern w:val="0"/>
          <w:szCs w:val="21"/>
        </w:rPr>
        <w:t>4.7  实验室应向管理验证程序的主管当局提供一份试验记录的副本。”</w:t>
      </w:r>
    </w:p>
    <w:p>
      <w:pPr>
        <w:adjustRightInd w:val="0"/>
        <w:snapToGrid w:val="0"/>
        <w:ind w:firstLine="424" w:firstLineChars="202"/>
        <w:rPr>
          <w:rFonts w:ascii="楷体" w:hAnsi="楷体" w:eastAsia="楷体" w:cs="楷体"/>
          <w:snapToGrid w:val="0"/>
          <w:color w:val="0000FF"/>
          <w:kern w:val="0"/>
          <w:szCs w:val="21"/>
        </w:rPr>
      </w:pPr>
    </w:p>
    <w:p>
      <w:pPr>
        <w:adjustRightInd w:val="0"/>
        <w:snapToGrid w:val="0"/>
        <w:ind w:firstLine="424" w:firstLineChars="202"/>
        <w:rPr>
          <w:rFonts w:ascii="楷体" w:hAnsi="楷体" w:eastAsia="楷体" w:cs="楷体"/>
          <w:snapToGrid w:val="0"/>
          <w:color w:val="0000FF"/>
          <w:kern w:val="0"/>
          <w:szCs w:val="21"/>
        </w:rPr>
      </w:pPr>
    </w:p>
    <w:p>
      <w:pPr>
        <w:pStyle w:val="10"/>
        <w:jc w:val="center"/>
        <w:outlineLvl w:val="0"/>
        <w:rPr>
          <w:rFonts w:ascii="Times New Roman" w:hAnsi="Times New Roman" w:eastAsia="黑体" w:cs="Times New Roman"/>
          <w:sz w:val="32"/>
          <w:szCs w:val="32"/>
          <w:lang w:bidi="ar"/>
        </w:rPr>
      </w:pPr>
      <w:bookmarkStart w:id="106" w:name="_Toc2610"/>
      <w:r>
        <w:rPr>
          <w:rFonts w:ascii="Times New Roman" w:hAnsi="Times New Roman" w:eastAsia="黑体" w:cs="Times New Roman"/>
          <w:sz w:val="32"/>
          <w:szCs w:val="32"/>
          <w:lang w:bidi="ar"/>
        </w:rPr>
        <w:t>附录IX  应向IMO船舶燃油消耗数据库提交的信息</w:t>
      </w:r>
      <w:bookmarkEnd w:id="106"/>
    </w:p>
    <w:p>
      <w:pPr>
        <w:widowControl/>
        <w:ind w:firstLine="420" w:firstLineChars="200"/>
        <w:rPr>
          <w:szCs w:val="21"/>
        </w:rPr>
      </w:pPr>
    </w:p>
    <w:p>
      <w:pPr>
        <w:widowControl/>
        <w:ind w:firstLine="420" w:firstLineChars="200"/>
        <w:rPr>
          <w:rFonts w:ascii="楷体" w:hAnsi="楷体" w:eastAsia="楷体"/>
        </w:rPr>
      </w:pPr>
      <w:r>
        <w:rPr>
          <w:rFonts w:hint="eastAsia" w:ascii="楷体" w:hAnsi="楷体" w:eastAsia="楷体"/>
        </w:rPr>
        <w:t>原船舶技术特性改为：</w:t>
      </w:r>
    </w:p>
    <w:p>
      <w:pPr>
        <w:widowControl/>
        <w:ind w:left="1108" w:leftChars="330" w:hanging="415" w:hangingChars="198"/>
        <w:rPr>
          <w:szCs w:val="21"/>
        </w:rPr>
      </w:pPr>
      <w:r>
        <w:rPr>
          <w:rFonts w:hint="eastAsia"/>
          <w:szCs w:val="21"/>
        </w:rPr>
        <w:t>“船舶技术特性</w:t>
      </w:r>
    </w:p>
    <w:p>
      <w:pPr>
        <w:widowControl/>
        <w:ind w:left="1108" w:leftChars="330" w:hanging="415" w:hangingChars="198"/>
        <w:rPr>
          <w:szCs w:val="21"/>
        </w:rPr>
      </w:pPr>
      <w:r>
        <w:rPr>
          <w:rFonts w:hint="eastAsia"/>
          <w:szCs w:val="21"/>
        </w:rPr>
        <w:t>按本</w:t>
      </w:r>
      <w:r>
        <w:rPr>
          <w:rFonts w:hint="eastAsia"/>
          <w:strike/>
          <w:color w:val="FF0000"/>
          <w:szCs w:val="21"/>
        </w:rPr>
        <w:t>附则</w:t>
      </w:r>
      <w:r>
        <w:rPr>
          <w:rFonts w:hint="eastAsia"/>
          <w:color w:val="FF0000"/>
          <w:szCs w:val="21"/>
          <w:u w:val="single"/>
        </w:rPr>
        <w:t>章</w:t>
      </w:r>
      <w:r>
        <w:rPr>
          <w:rFonts w:hint="eastAsia"/>
          <w:szCs w:val="21"/>
        </w:rPr>
        <w:t>第2条定义的船型或其他（请说明）</w:t>
      </w:r>
    </w:p>
    <w:p>
      <w:pPr>
        <w:widowControl/>
        <w:ind w:left="1108" w:leftChars="330" w:hanging="415" w:hangingChars="198"/>
        <w:rPr>
          <w:szCs w:val="21"/>
        </w:rPr>
      </w:pPr>
      <w:r>
        <w:rPr>
          <w:rFonts w:hint="eastAsia"/>
          <w:szCs w:val="21"/>
        </w:rPr>
        <w:t>总吨（GT）</w:t>
      </w:r>
      <w:r>
        <w:rPr>
          <w:vertAlign w:val="superscript"/>
        </w:rPr>
        <w:footnoteReference w:id="54"/>
      </w:r>
    </w:p>
    <w:p>
      <w:pPr>
        <w:widowControl/>
        <w:ind w:left="1108" w:leftChars="330" w:hanging="415" w:hangingChars="198"/>
        <w:rPr>
          <w:szCs w:val="21"/>
        </w:rPr>
      </w:pPr>
      <w:r>
        <w:rPr>
          <w:rFonts w:hint="eastAsia"/>
          <w:szCs w:val="21"/>
        </w:rPr>
        <w:t>净吨（NT）</w:t>
      </w:r>
      <w:r>
        <w:rPr>
          <w:vertAlign w:val="superscript"/>
        </w:rPr>
        <w:footnoteReference w:id="55"/>
      </w:r>
    </w:p>
    <w:p>
      <w:pPr>
        <w:widowControl/>
        <w:ind w:left="1108" w:leftChars="330" w:hanging="415" w:hangingChars="198"/>
        <w:rPr>
          <w:szCs w:val="21"/>
        </w:rPr>
      </w:pPr>
      <w:r>
        <w:rPr>
          <w:rFonts w:hint="eastAsia"/>
          <w:szCs w:val="21"/>
        </w:rPr>
        <w:t>载重吨（DWT）</w:t>
      </w:r>
      <w:r>
        <w:rPr>
          <w:vertAlign w:val="superscript"/>
        </w:rPr>
        <w:footnoteReference w:id="56"/>
      </w:r>
    </w:p>
    <w:p>
      <w:pPr>
        <w:widowControl/>
        <w:ind w:left="1108" w:leftChars="330" w:hanging="415" w:hangingChars="198"/>
        <w:rPr>
          <w:szCs w:val="21"/>
        </w:rPr>
      </w:pPr>
      <w:r>
        <w:rPr>
          <w:rFonts w:hint="eastAsia"/>
          <w:szCs w:val="21"/>
        </w:rPr>
        <w:t>超过130 kW主辅往复式内燃机的</w:t>
      </w:r>
      <w:r>
        <w:rPr>
          <w:rFonts w:hint="eastAsia"/>
          <w:strike/>
          <w:color w:val="FF0000"/>
          <w:szCs w:val="21"/>
        </w:rPr>
        <w:t>功率输出</w:t>
      </w:r>
      <w:r>
        <w:rPr>
          <w:rFonts w:hint="eastAsia"/>
          <w:color w:val="FF0000"/>
          <w:szCs w:val="21"/>
          <w:u w:val="single"/>
        </w:rPr>
        <w:t>输出功率</w:t>
      </w:r>
      <w:r>
        <w:rPr>
          <w:rFonts w:hint="eastAsia"/>
          <w:szCs w:val="21"/>
        </w:rPr>
        <w:t>（额定功率</w:t>
      </w:r>
      <w:r>
        <w:rPr>
          <w:vertAlign w:val="superscript"/>
        </w:rPr>
        <w:footnoteReference w:id="57"/>
      </w:r>
      <w:r>
        <w:rPr>
          <w:rFonts w:hint="eastAsia"/>
          <w:szCs w:val="21"/>
        </w:rPr>
        <w:t>）（以kW表示）</w:t>
      </w:r>
    </w:p>
    <w:p>
      <w:pPr>
        <w:widowControl/>
        <w:ind w:left="1108" w:leftChars="330" w:hanging="415" w:hangingChars="198"/>
        <w:rPr>
          <w:szCs w:val="21"/>
        </w:rPr>
      </w:pPr>
      <w:r>
        <w:rPr>
          <w:szCs w:val="21"/>
        </w:rPr>
        <w:t>EEDI</w:t>
      </w:r>
      <w:r>
        <w:rPr>
          <w:rFonts w:hint="eastAsia"/>
          <w:szCs w:val="21"/>
        </w:rPr>
        <w:t>（如适用）</w:t>
      </w:r>
    </w:p>
    <w:p>
      <w:pPr>
        <w:widowControl/>
        <w:ind w:left="1108" w:leftChars="330" w:hanging="415" w:hangingChars="198"/>
        <w:rPr>
          <w:szCs w:val="21"/>
        </w:rPr>
      </w:pPr>
      <w:r>
        <w:rPr>
          <w:rFonts w:hint="eastAsia"/>
          <w:szCs w:val="21"/>
        </w:rPr>
        <w:t>冰级</w:t>
      </w:r>
      <w:r>
        <w:rPr>
          <w:rFonts w:hint="eastAsia"/>
          <w:strike/>
          <w:color w:val="FF0000"/>
          <w:szCs w:val="21"/>
        </w:rPr>
        <w:t>（如适用）</w:t>
      </w:r>
      <w:r>
        <w:rPr>
          <w:vertAlign w:val="superscript"/>
        </w:rPr>
        <w:footnoteReference w:id="58"/>
      </w:r>
      <w:r>
        <w:rPr>
          <w:rFonts w:hint="eastAsia"/>
          <w:szCs w:val="21"/>
        </w:rPr>
        <w:t>”</w:t>
      </w:r>
    </w:p>
    <w:p>
      <w:pPr>
        <w:adjustRightInd w:val="0"/>
        <w:snapToGrid w:val="0"/>
        <w:rPr>
          <w:rFonts w:ascii="楷体" w:hAnsi="楷体" w:eastAsia="楷体" w:cs="楷体"/>
          <w:snapToGrid w:val="0"/>
          <w:color w:val="0000FF"/>
          <w:kern w:val="0"/>
          <w:szCs w:val="21"/>
        </w:rPr>
      </w:pPr>
    </w:p>
    <w:p>
      <w:pPr>
        <w:adjustRightInd w:val="0"/>
        <w:snapToGrid w:val="0"/>
        <w:rPr>
          <w:rFonts w:ascii="楷体" w:hAnsi="楷体" w:eastAsia="楷体" w:cs="楷体"/>
          <w:snapToGrid w:val="0"/>
          <w:color w:val="0000FF"/>
          <w:kern w:val="0"/>
          <w:szCs w:val="21"/>
        </w:rPr>
      </w:pPr>
    </w:p>
    <w:p>
      <w:pPr>
        <w:widowControl/>
        <w:ind w:firstLine="420" w:firstLineChars="200"/>
        <w:rPr>
          <w:rFonts w:ascii="楷体" w:hAnsi="楷体" w:eastAsia="楷体"/>
        </w:rPr>
      </w:pPr>
      <w:r>
        <w:rPr>
          <w:rFonts w:hint="eastAsia" w:ascii="楷体" w:hAnsi="楷体" w:eastAsia="楷体"/>
        </w:rPr>
        <w:t>原附录</w:t>
      </w:r>
      <w:r>
        <w:rPr>
          <w:rFonts w:ascii="楷体" w:hAnsi="楷体" w:eastAsia="楷体"/>
        </w:rPr>
        <w:t>X</w:t>
      </w:r>
      <w:r>
        <w:rPr>
          <w:rFonts w:hint="eastAsia" w:ascii="楷体" w:hAnsi="楷体" w:eastAsia="楷体"/>
        </w:rPr>
        <w:t>标题改为：</w:t>
      </w:r>
    </w:p>
    <w:p>
      <w:pPr>
        <w:pStyle w:val="10"/>
        <w:jc w:val="center"/>
        <w:outlineLvl w:val="0"/>
        <w:rPr>
          <w:rFonts w:ascii="Times New Roman" w:hAnsi="Times New Roman" w:eastAsia="黑体" w:cs="Times New Roman"/>
          <w:sz w:val="32"/>
          <w:szCs w:val="32"/>
          <w:lang w:bidi="ar"/>
        </w:rPr>
      </w:pPr>
      <w:bookmarkStart w:id="107" w:name="_Toc536706169"/>
      <w:bookmarkStart w:id="108" w:name="_Toc20423"/>
      <w:r>
        <w:rPr>
          <w:rFonts w:hint="eastAsia"/>
        </w:rPr>
        <w:t>“</w:t>
      </w:r>
      <w:r>
        <w:rPr>
          <w:rFonts w:hint="eastAsia" w:ascii="Times New Roman" w:hAnsi="Times New Roman" w:eastAsia="黑体" w:cs="Times New Roman"/>
          <w:sz w:val="32"/>
          <w:szCs w:val="32"/>
          <w:lang w:bidi="ar"/>
        </w:rPr>
        <w:t>附录</w:t>
      </w:r>
      <w:r>
        <w:rPr>
          <w:rFonts w:ascii="Times New Roman" w:hAnsi="Times New Roman" w:eastAsia="黑体" w:cs="Times New Roman"/>
          <w:sz w:val="32"/>
          <w:szCs w:val="32"/>
          <w:lang w:bidi="ar"/>
        </w:rPr>
        <w:t xml:space="preserve">X  </w:t>
      </w:r>
      <w:r>
        <w:rPr>
          <w:rFonts w:hint="eastAsia" w:ascii="Times New Roman" w:hAnsi="Times New Roman" w:eastAsia="黑体" w:cs="Times New Roman"/>
          <w:sz w:val="32"/>
          <w:szCs w:val="32"/>
          <w:lang w:bidi="ar"/>
        </w:rPr>
        <w:t>符合声明格式—</w:t>
      </w:r>
      <w:r>
        <w:rPr>
          <w:rFonts w:hint="eastAsia" w:ascii="Times New Roman" w:hAnsi="Times New Roman" w:eastAsia="黑体"/>
          <w:strike/>
          <w:color w:val="FF0000"/>
          <w:sz w:val="32"/>
          <w:szCs w:val="32"/>
          <w:lang w:bidi="ar"/>
        </w:rPr>
        <w:t>燃油消耗报告</w:t>
      </w:r>
      <w:bookmarkEnd w:id="107"/>
      <w:r>
        <w:rPr>
          <w:rFonts w:hint="eastAsia" w:ascii="Times New Roman" w:hAnsi="Times New Roman" w:eastAsia="黑体"/>
          <w:color w:val="FF0000"/>
          <w:sz w:val="32"/>
          <w:szCs w:val="32"/>
          <w:u w:val="single"/>
          <w:lang w:bidi="ar"/>
        </w:rPr>
        <w:t>燃油消耗报告和营运</w:t>
      </w:r>
      <w:r>
        <w:rPr>
          <w:rFonts w:ascii="Times New Roman" w:hAnsi="Times New Roman" w:eastAsia="黑体" w:cs="Times New Roman"/>
          <w:color w:val="FF0000"/>
          <w:sz w:val="32"/>
          <w:szCs w:val="32"/>
          <w:u w:val="single"/>
          <w:lang w:bidi="ar"/>
        </w:rPr>
        <w:t>碳强度评级</w:t>
      </w:r>
      <w:r>
        <w:rPr>
          <w:rFonts w:ascii="Times New Roman" w:hAnsi="Times New Roman" w:cs="Times New Roman"/>
        </w:rPr>
        <w:t>”</w:t>
      </w:r>
      <w:bookmarkEnd w:id="108"/>
    </w:p>
    <w:p>
      <w:pPr>
        <w:adjustRightInd w:val="0"/>
        <w:snapToGrid w:val="0"/>
        <w:ind w:firstLine="420" w:firstLineChars="200"/>
        <w:rPr>
          <w:rFonts w:ascii="楷体" w:hAnsi="楷体" w:eastAsia="楷体" w:cs="楷体"/>
          <w:snapToGrid w:val="0"/>
          <w:color w:val="0000FF"/>
          <w:kern w:val="0"/>
          <w:szCs w:val="21"/>
        </w:rPr>
      </w:pPr>
    </w:p>
    <w:p>
      <w:pPr>
        <w:pStyle w:val="10"/>
        <w:ind w:firstLine="420"/>
        <w:rPr>
          <w:rFonts w:ascii="Times New Roman" w:hAnsi="Times New Roman"/>
          <w:lang w:bidi="ar"/>
        </w:rPr>
      </w:pPr>
    </w:p>
    <w:p>
      <w:pPr>
        <w:widowControl/>
        <w:ind w:firstLine="420" w:firstLineChars="200"/>
        <w:rPr>
          <w:rFonts w:ascii="楷体" w:hAnsi="楷体" w:eastAsia="楷体"/>
        </w:rPr>
      </w:pPr>
      <w:r>
        <w:rPr>
          <w:rFonts w:hint="eastAsia" w:ascii="楷体" w:hAnsi="楷体" w:eastAsia="楷体"/>
        </w:rPr>
        <w:t>新增附录XII如下：</w:t>
      </w:r>
    </w:p>
    <w:p>
      <w:pPr>
        <w:pStyle w:val="10"/>
        <w:jc w:val="center"/>
        <w:outlineLvl w:val="0"/>
        <w:rPr>
          <w:rFonts w:ascii="Times New Roman" w:hAnsi="Times New Roman" w:eastAsia="黑体"/>
          <w:color w:val="FF0000"/>
          <w:sz w:val="32"/>
          <w:szCs w:val="32"/>
          <w:u w:val="single"/>
          <w:lang w:bidi="ar"/>
        </w:rPr>
      </w:pPr>
      <w:bookmarkStart w:id="109" w:name="_Toc20224"/>
      <w:r>
        <w:rPr>
          <w:rFonts w:hint="eastAsia"/>
        </w:rPr>
        <w:t>“</w:t>
      </w:r>
      <w:r>
        <w:rPr>
          <w:rFonts w:hint="eastAsia" w:ascii="Times New Roman" w:hAnsi="Times New Roman" w:eastAsia="黑体"/>
          <w:color w:val="FF0000"/>
          <w:sz w:val="32"/>
          <w:szCs w:val="32"/>
          <w:u w:val="single"/>
          <w:lang w:bidi="ar"/>
        </w:rPr>
        <w:t>附录XII  无人非自航驳船免除证书格式</w:t>
      </w:r>
      <w:bookmarkEnd w:id="109"/>
    </w:p>
    <w:p>
      <w:pPr>
        <w:pStyle w:val="10"/>
        <w:jc w:val="center"/>
        <w:rPr>
          <w:rFonts w:ascii="Times New Roman" w:hAnsi="Times New Roman" w:eastAsia="宋体" w:cs="Times New Roman"/>
          <w:b/>
          <w:lang w:bidi="ar"/>
        </w:rPr>
      </w:pPr>
    </w:p>
    <w:p>
      <w:pPr>
        <w:pStyle w:val="10"/>
        <w:jc w:val="center"/>
        <w:outlineLvl w:val="3"/>
        <w:rPr>
          <w:rFonts w:ascii="Times New Roman" w:hAnsi="Times New Roman" w:eastAsia="宋体" w:cs="Times New Roman"/>
          <w:b/>
          <w:lang w:bidi="ar"/>
        </w:rPr>
      </w:pPr>
      <w:bookmarkStart w:id="110" w:name="_Toc8730"/>
      <w:r>
        <w:rPr>
          <w:rFonts w:hint="eastAsia" w:ascii="Times New Roman" w:hAnsi="Times New Roman" w:eastAsia="宋体" w:cs="Times New Roman"/>
          <w:b/>
          <w:lang w:bidi="ar"/>
        </w:rPr>
        <w:t>无人非自航（UNSP）驳船国际防止空气污染免除证书</w:t>
      </w:r>
      <w:bookmarkEnd w:id="110"/>
    </w:p>
    <w:p>
      <w:pPr>
        <w:ind w:firstLine="105" w:firstLineChars="50"/>
        <w:rPr>
          <w:b/>
          <w:color w:val="FF0000"/>
          <w:u w:val="single"/>
        </w:rPr>
      </w:pPr>
    </w:p>
    <w:p>
      <w:pPr>
        <w:autoSpaceDE w:val="0"/>
        <w:autoSpaceDN w:val="0"/>
        <w:adjustRightInd w:val="0"/>
        <w:snapToGrid w:val="0"/>
        <w:jc w:val="center"/>
        <w:rPr>
          <w:color w:val="FF0000"/>
          <w:u w:val="single"/>
        </w:rPr>
      </w:pPr>
      <w:r>
        <w:rPr>
          <w:rFonts w:hint="eastAsia"/>
        </w:rPr>
        <w:t>（略）</w:t>
      </w:r>
      <w:r>
        <w:rPr>
          <w:rFonts w:hint="eastAsia"/>
          <w:szCs w:val="21"/>
        </w:rPr>
        <w:t>”</w:t>
      </w:r>
    </w:p>
    <w:p>
      <w:pPr>
        <w:jc w:val="left"/>
        <w:rPr>
          <w:rFonts w:ascii="仿宋" w:hAnsi="仿宋" w:eastAsia="仿宋" w:cs="仿宋"/>
          <w:snapToGrid w:val="0"/>
          <w:color w:val="0000FF"/>
          <w:kern w:val="0"/>
          <w:szCs w:val="21"/>
        </w:rPr>
      </w:pPr>
    </w:p>
    <w:p>
      <w:pPr>
        <w:widowControl/>
        <w:jc w:val="left"/>
        <w:rPr>
          <w:rFonts w:ascii="Times New Roman" w:hAnsi="Times New Roman" w:cs="Times New Roman"/>
        </w:rPr>
      </w:pPr>
    </w:p>
    <w:p>
      <w:pPr>
        <w:widowControl/>
        <w:jc w:val="left"/>
        <w:rPr>
          <w:rFonts w:ascii="Times New Roman" w:hAnsi="Times New Roman" w:cs="Times New Roman"/>
        </w:rPr>
      </w:pPr>
      <w:r>
        <w:rPr>
          <w:rFonts w:ascii="Times New Roman" w:hAnsi="Times New Roman" w:cs="Times New Roman"/>
        </w:rPr>
        <w:br w:type="page"/>
      </w:r>
    </w:p>
    <w:p>
      <w:pPr>
        <w:pStyle w:val="35"/>
        <w:outlineLvl w:val="0"/>
        <w:rPr>
          <w:rFonts w:hint="default" w:ascii="Times New Roman" w:hAnsi="Times New Roman" w:cs="Times New Roman"/>
        </w:rPr>
      </w:pPr>
      <w:bookmarkStart w:id="111" w:name="_Toc13417"/>
      <w:r>
        <w:rPr>
          <w:rFonts w:ascii="Times New Roman" w:hAnsi="Times New Roman" w:cs="Times New Roman"/>
        </w:rPr>
        <w:t>第7章  控制船舶有害防污底系统污染规则</w:t>
      </w:r>
      <w:bookmarkEnd w:id="111"/>
    </w:p>
    <w:p>
      <w:pPr>
        <w:adjustRightInd w:val="0"/>
        <w:snapToGrid w:val="0"/>
        <w:jc w:val="center"/>
        <w:rPr>
          <w:rFonts w:ascii="宋体" w:hAnsi="宋体" w:cs="宋体"/>
          <w:szCs w:val="21"/>
        </w:rPr>
      </w:pPr>
    </w:p>
    <w:p>
      <w:pPr>
        <w:pStyle w:val="36"/>
        <w:rPr>
          <w:rFonts w:hint="default" w:ascii="Times New Roman" w:hAnsi="Times New Roman"/>
        </w:rPr>
      </w:pPr>
      <w:bookmarkStart w:id="112" w:name="_Toc8409"/>
      <w:r>
        <w:rPr>
          <w:rFonts w:ascii="Times New Roman" w:hAnsi="Times New Roman"/>
        </w:rPr>
        <w:t>I  总    则</w:t>
      </w:r>
      <w:bookmarkEnd w:id="112"/>
    </w:p>
    <w:p>
      <w:pPr>
        <w:adjustRightInd w:val="0"/>
        <w:snapToGrid w:val="0"/>
        <w:jc w:val="center"/>
        <w:rPr>
          <w:rFonts w:ascii="宋体" w:hAnsi="宋体" w:cs="宋体"/>
          <w:szCs w:val="21"/>
        </w:rPr>
      </w:pPr>
    </w:p>
    <w:p>
      <w:pPr>
        <w:widowControl/>
        <w:ind w:firstLine="420" w:firstLineChars="200"/>
        <w:rPr>
          <w:rFonts w:ascii="楷体" w:hAnsi="楷体" w:eastAsia="楷体"/>
        </w:rPr>
      </w:pPr>
      <w:r>
        <w:rPr>
          <w:rFonts w:hint="eastAsia" w:ascii="楷体" w:hAnsi="楷体" w:eastAsia="楷体"/>
        </w:rPr>
        <w:t>删除第3条。</w:t>
      </w:r>
    </w:p>
    <w:p>
      <w:pPr>
        <w:widowControl/>
        <w:ind w:firstLine="420" w:firstLineChars="200"/>
        <w:rPr>
          <w:rFonts w:ascii="楷体" w:hAnsi="楷体" w:eastAsia="楷体"/>
        </w:rPr>
      </w:pPr>
    </w:p>
    <w:p>
      <w:pPr>
        <w:widowControl/>
        <w:ind w:firstLine="420" w:firstLineChars="200"/>
        <w:rPr>
          <w:rFonts w:ascii="楷体" w:hAnsi="楷体" w:eastAsia="楷体"/>
        </w:rPr>
      </w:pPr>
      <w:r>
        <w:rPr>
          <w:rFonts w:hint="eastAsia" w:ascii="楷体" w:hAnsi="楷体" w:eastAsia="楷体"/>
        </w:rPr>
        <w:t>新增</w:t>
      </w:r>
      <w:r>
        <w:rPr>
          <w:rFonts w:ascii="Times New Roman" w:hAnsi="Times New Roman" w:eastAsia="楷体" w:cs="Times New Roman"/>
        </w:rPr>
        <w:t>II</w:t>
      </w:r>
      <w:r>
        <w:rPr>
          <w:rFonts w:hint="eastAsia" w:ascii="楷体" w:hAnsi="楷体" w:eastAsia="楷体"/>
        </w:rPr>
        <w:t>如下：</w:t>
      </w:r>
    </w:p>
    <w:p>
      <w:pPr>
        <w:pStyle w:val="36"/>
        <w:rPr>
          <w:rFonts w:hint="default" w:ascii="Times New Roman" w:hAnsi="Times New Roman"/>
          <w:color w:val="FF0000"/>
          <w:u w:val="single"/>
        </w:rPr>
      </w:pPr>
      <w:bookmarkStart w:id="113" w:name="_Toc24289"/>
      <w:r>
        <w:rPr>
          <w:rFonts w:ascii="宋体" w:hAnsi="宋体" w:eastAsia="宋体" w:cs="宋体"/>
          <w:sz w:val="21"/>
          <w:szCs w:val="21"/>
        </w:rPr>
        <w:t>“</w:t>
      </w:r>
      <w:r>
        <w:rPr>
          <w:rFonts w:ascii="Times New Roman" w:hAnsi="Times New Roman"/>
          <w:color w:val="FF0000"/>
          <w:u w:val="single"/>
        </w:rPr>
        <w:t xml:space="preserve">II  </w:t>
      </w:r>
      <w:r>
        <w:rPr>
          <w:rFonts w:ascii="Times New Roman" w:hAnsi="Times New Roman"/>
          <w:bCs/>
          <w:color w:val="FF0000"/>
          <w:u w:val="single"/>
        </w:rPr>
        <w:t>防污底系统控制要求（AFS公约附则1）</w:t>
      </w:r>
      <w:bookmarkEnd w:id="113"/>
    </w:p>
    <w:p>
      <w:pPr>
        <w:pStyle w:val="10"/>
        <w:jc w:val="center"/>
        <w:outlineLvl w:val="3"/>
        <w:rPr>
          <w:rFonts w:ascii="Times New Roman" w:hAnsi="Times New Roman" w:eastAsia="黑体"/>
          <w:bCs/>
        </w:rPr>
      </w:pPr>
      <w:bookmarkStart w:id="114" w:name="_Toc4716"/>
      <w:r>
        <w:rPr>
          <w:rFonts w:hint="eastAsia" w:ascii="Times New Roman" w:hAnsi="Times New Roman" w:eastAsia="黑体"/>
          <w:bCs/>
          <w:color w:val="FF0000"/>
          <w:u w:val="single"/>
        </w:rPr>
        <w:t>第1</w:t>
      </w:r>
      <w:r>
        <w:rPr>
          <w:rFonts w:ascii="Times New Roman" w:hAnsi="Times New Roman" w:eastAsia="黑体"/>
          <w:bCs/>
          <w:color w:val="FF0000"/>
          <w:u w:val="single"/>
        </w:rPr>
        <w:t>条</w:t>
      </w:r>
      <w:r>
        <w:rPr>
          <w:rFonts w:hint="eastAsia" w:ascii="Times New Roman" w:hAnsi="Times New Roman" w:eastAsia="黑体"/>
          <w:bCs/>
          <w:color w:val="FF0000"/>
          <w:u w:val="single"/>
        </w:rPr>
        <w:t xml:space="preserve"> </w:t>
      </w:r>
      <w:r>
        <w:rPr>
          <w:rFonts w:ascii="Times New Roman" w:hAnsi="Times New Roman" w:eastAsia="黑体"/>
          <w:bCs/>
          <w:color w:val="FF0000"/>
          <w:u w:val="single"/>
        </w:rPr>
        <w:t xml:space="preserve"> </w:t>
      </w:r>
      <w:r>
        <w:rPr>
          <w:rFonts w:hint="eastAsia" w:ascii="Times New Roman" w:hAnsi="Times New Roman" w:eastAsia="黑体"/>
          <w:bCs/>
          <w:color w:val="FF0000"/>
          <w:u w:val="single"/>
        </w:rPr>
        <w:t>防污底系统控制要求</w:t>
      </w:r>
      <w:bookmarkEnd w:id="114"/>
    </w:p>
    <w:p>
      <w:pPr>
        <w:adjustRightInd w:val="0"/>
        <w:snapToGrid w:val="0"/>
        <w:rPr>
          <w:rFonts w:ascii="宋体" w:hAnsi="宋体"/>
          <w:strike/>
          <w:color w:val="FF0000"/>
          <w:szCs w:val="21"/>
        </w:rPr>
      </w:pPr>
    </w:p>
    <w:p>
      <w:pPr>
        <w:ind w:firstLine="420"/>
        <w:rPr>
          <w:rFonts w:ascii="Times New Roman" w:hAnsi="Times New Roman" w:cs="Times New Roman"/>
        </w:rPr>
      </w:pPr>
      <w:r>
        <w:rPr>
          <w:rFonts w:ascii="Times New Roman" w:hAnsi="Times New Roman" w:cs="Times New Roman"/>
        </w:rPr>
        <w:t>1  防污底系统应符合AFS公约附则1要求，详见下表1：</w:t>
      </w:r>
    </w:p>
    <w:p>
      <w:pPr>
        <w:ind w:firstLine="420"/>
        <w:jc w:val="center"/>
        <w:rPr>
          <w:rFonts w:ascii="宋体" w:hAnsi="宋体" w:cs="宋体"/>
          <w:szCs w:val="21"/>
        </w:rPr>
      </w:pPr>
      <w:r>
        <w:rPr>
          <w:rFonts w:ascii="Times New Roman" w:hAnsi="Times New Roman" w:cs="Times New Roman"/>
          <w:szCs w:val="21"/>
        </w:rPr>
        <w:t>表1：</w:t>
      </w:r>
      <w:r>
        <w:rPr>
          <w:rFonts w:hint="eastAsia" w:ascii="宋体" w:hAnsi="宋体" w:cs="宋体"/>
          <w:szCs w:val="21"/>
        </w:rPr>
        <w:t>防污底系统的控制”</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ind w:firstLine="420"/>
              <w:rPr>
                <w:rFonts w:ascii="Times New Roman" w:hAnsi="Times New Roman" w:cs="Times New Roman"/>
                <w:szCs w:val="21"/>
              </w:rPr>
            </w:pPr>
            <w:r>
              <w:rPr>
                <w:rFonts w:ascii="Times New Roman" w:hAnsi="Times New Roman" w:cs="Times New Roman"/>
                <w:szCs w:val="21"/>
              </w:rPr>
              <w:t>防污底系统</w:t>
            </w:r>
          </w:p>
        </w:tc>
        <w:tc>
          <w:tcPr>
            <w:tcW w:w="2130" w:type="dxa"/>
          </w:tcPr>
          <w:p>
            <w:pPr>
              <w:ind w:firstLine="420"/>
              <w:rPr>
                <w:rFonts w:ascii="Times New Roman" w:hAnsi="Times New Roman" w:cs="Times New Roman"/>
                <w:szCs w:val="21"/>
              </w:rPr>
            </w:pPr>
            <w:r>
              <w:rPr>
                <w:rFonts w:ascii="Times New Roman" w:hAnsi="Times New Roman" w:cs="Times New Roman"/>
                <w:szCs w:val="21"/>
              </w:rPr>
              <w:t>控制措施</w:t>
            </w:r>
          </w:p>
        </w:tc>
        <w:tc>
          <w:tcPr>
            <w:tcW w:w="2131" w:type="dxa"/>
          </w:tcPr>
          <w:p>
            <w:pPr>
              <w:ind w:firstLine="420"/>
              <w:rPr>
                <w:rFonts w:ascii="Times New Roman" w:hAnsi="Times New Roman" w:cs="Times New Roman"/>
                <w:szCs w:val="21"/>
              </w:rPr>
            </w:pPr>
            <w:r>
              <w:rPr>
                <w:rFonts w:ascii="Times New Roman" w:hAnsi="Times New Roman" w:cs="Times New Roman"/>
                <w:szCs w:val="21"/>
              </w:rPr>
              <w:t>适用船舶</w:t>
            </w:r>
          </w:p>
        </w:tc>
        <w:tc>
          <w:tcPr>
            <w:tcW w:w="2131" w:type="dxa"/>
          </w:tcPr>
          <w:p>
            <w:pPr>
              <w:ind w:firstLine="420"/>
              <w:rPr>
                <w:rFonts w:ascii="Times New Roman" w:hAnsi="Times New Roman" w:cs="Times New Roman"/>
                <w:szCs w:val="21"/>
              </w:rPr>
            </w:pPr>
            <w:r>
              <w:rPr>
                <w:rFonts w:ascii="Times New Roman" w:hAnsi="Times New Roman" w:cs="Times New Roman"/>
                <w:szCs w:val="21"/>
              </w:rPr>
              <w:t>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jc w:val="left"/>
              <w:rPr>
                <w:rFonts w:ascii="Times New Roman" w:hAnsi="Times New Roman" w:cs="Times New Roman"/>
                <w:szCs w:val="21"/>
              </w:rPr>
            </w:pPr>
            <w:r>
              <w:rPr>
                <w:rFonts w:ascii="Times New Roman" w:hAnsi="Times New Roman" w:cs="Times New Roman"/>
                <w:szCs w:val="21"/>
              </w:rPr>
              <w:t>在防污底系统中作为杀生物剂的有机锡化合物</w:t>
            </w:r>
          </w:p>
        </w:tc>
        <w:tc>
          <w:tcPr>
            <w:tcW w:w="2130" w:type="dxa"/>
          </w:tcPr>
          <w:p>
            <w:pPr>
              <w:jc w:val="left"/>
              <w:rPr>
                <w:rFonts w:ascii="Times New Roman" w:hAnsi="Times New Roman" w:cs="Times New Roman"/>
                <w:szCs w:val="21"/>
              </w:rPr>
            </w:pPr>
            <w:r>
              <w:rPr>
                <w:rFonts w:ascii="Times New Roman" w:hAnsi="Times New Roman" w:cs="Times New Roman"/>
                <w:szCs w:val="21"/>
              </w:rPr>
              <w:t>船舶不应使用或重新使用此类化合物。</w:t>
            </w:r>
          </w:p>
        </w:tc>
        <w:tc>
          <w:tcPr>
            <w:tcW w:w="2131" w:type="dxa"/>
          </w:tcPr>
          <w:p>
            <w:pPr>
              <w:jc w:val="left"/>
              <w:rPr>
                <w:rFonts w:ascii="Times New Roman" w:hAnsi="Times New Roman" w:cs="Times New Roman"/>
                <w:szCs w:val="21"/>
              </w:rPr>
            </w:pPr>
            <w:r>
              <w:rPr>
                <w:rFonts w:ascii="Times New Roman" w:hAnsi="Times New Roman" w:cs="Times New Roman"/>
                <w:szCs w:val="21"/>
              </w:rPr>
              <w:t>所有船舶</w:t>
            </w:r>
          </w:p>
        </w:tc>
        <w:tc>
          <w:tcPr>
            <w:tcW w:w="2131" w:type="dxa"/>
          </w:tcPr>
          <w:p>
            <w:pPr>
              <w:jc w:val="left"/>
              <w:rPr>
                <w:rFonts w:ascii="Times New Roman" w:hAnsi="Times New Roman" w:cs="Times New Roman"/>
                <w:szCs w:val="21"/>
              </w:rPr>
            </w:pPr>
            <w:r>
              <w:rPr>
                <w:rFonts w:ascii="Times New Roman" w:hAnsi="Times New Roman" w:cs="Times New Roman"/>
                <w:szCs w:val="21"/>
              </w:rPr>
              <w:t>2011年6月7日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jc w:val="left"/>
              <w:rPr>
                <w:rFonts w:ascii="Times New Roman" w:hAnsi="Times New Roman" w:cs="Times New Roman"/>
                <w:szCs w:val="21"/>
              </w:rPr>
            </w:pPr>
            <w:r>
              <w:rPr>
                <w:rFonts w:ascii="Times New Roman" w:hAnsi="Times New Roman" w:cs="Times New Roman"/>
                <w:szCs w:val="21"/>
              </w:rPr>
              <w:t>在防污底系统中作为杀生物剂的有机锡化合物</w:t>
            </w:r>
          </w:p>
        </w:tc>
        <w:tc>
          <w:tcPr>
            <w:tcW w:w="2130" w:type="dxa"/>
          </w:tcPr>
          <w:p>
            <w:pPr>
              <w:jc w:val="left"/>
              <w:rPr>
                <w:rFonts w:ascii="Times New Roman" w:hAnsi="Times New Roman" w:cs="Times New Roman"/>
                <w:szCs w:val="21"/>
              </w:rPr>
            </w:pPr>
            <w:r>
              <w:rPr>
                <w:rFonts w:ascii="Times New Roman" w:hAnsi="Times New Roman" w:cs="Times New Roman"/>
                <w:szCs w:val="21"/>
              </w:rPr>
              <w:t>船舶应：</w:t>
            </w:r>
          </w:p>
          <w:p>
            <w:pPr>
              <w:jc w:val="left"/>
              <w:rPr>
                <w:rFonts w:ascii="Times New Roman" w:hAnsi="Times New Roman" w:cs="Times New Roman"/>
                <w:szCs w:val="21"/>
              </w:rPr>
            </w:pPr>
            <w:r>
              <w:rPr>
                <w:rFonts w:ascii="Times New Roman" w:hAnsi="Times New Roman" w:cs="Times New Roman"/>
                <w:szCs w:val="21"/>
              </w:rPr>
              <w:t>（1）在船壳上、外部构件或表面上不应有此类化合物；或</w:t>
            </w:r>
          </w:p>
          <w:p>
            <w:pPr>
              <w:rPr>
                <w:rFonts w:ascii="Times New Roman" w:hAnsi="Times New Roman" w:cs="Times New Roman"/>
                <w:szCs w:val="21"/>
              </w:rPr>
            </w:pPr>
            <w:r>
              <w:rPr>
                <w:rFonts w:ascii="Times New Roman" w:hAnsi="Times New Roman" w:cs="Times New Roman"/>
                <w:szCs w:val="21"/>
              </w:rPr>
              <w:t>（2）涂敷一层涂层，形成屏障以防止此类化合物从底层不符合要求的防污底系统中渗出。</w:t>
            </w:r>
          </w:p>
        </w:tc>
        <w:tc>
          <w:tcPr>
            <w:tcW w:w="2131" w:type="dxa"/>
          </w:tcPr>
          <w:p>
            <w:pPr>
              <w:jc w:val="left"/>
              <w:rPr>
                <w:rFonts w:ascii="Times New Roman" w:hAnsi="Times New Roman" w:cs="Times New Roman"/>
                <w:szCs w:val="21"/>
              </w:rPr>
            </w:pPr>
            <w:r>
              <w:rPr>
                <w:rFonts w:ascii="Times New Roman" w:hAnsi="Times New Roman" w:cs="Times New Roman"/>
                <w:szCs w:val="21"/>
              </w:rPr>
              <w:t>所有船舶，但</w:t>
            </w:r>
            <w:r>
              <w:rPr>
                <w:rFonts w:ascii="Times New Roman" w:hAnsi="Times New Roman" w:cs="Times New Roman"/>
                <w:bCs/>
                <w:szCs w:val="21"/>
              </w:rPr>
              <w:t>在2011年6月7日之前</w:t>
            </w:r>
            <w:r>
              <w:rPr>
                <w:rFonts w:ascii="Times New Roman" w:hAnsi="Times New Roman" w:cs="Times New Roman"/>
                <w:szCs w:val="21"/>
              </w:rPr>
              <w:t>建造并在该日期或以后未曾坞修的移动式平台、浮式储存装置(FSUs)、浮式生产储存和卸货装置(FPSOs)除外。</w:t>
            </w:r>
          </w:p>
        </w:tc>
        <w:tc>
          <w:tcPr>
            <w:tcW w:w="2131" w:type="dxa"/>
          </w:tcPr>
          <w:p>
            <w:pPr>
              <w:jc w:val="left"/>
              <w:rPr>
                <w:rFonts w:ascii="Times New Roman" w:hAnsi="Times New Roman" w:cs="Times New Roman"/>
                <w:szCs w:val="21"/>
              </w:rPr>
            </w:pPr>
            <w:r>
              <w:rPr>
                <w:rFonts w:ascii="Times New Roman" w:hAnsi="Times New Roman" w:cs="Times New Roman"/>
                <w:szCs w:val="21"/>
              </w:rPr>
              <w:t>2011年6月7日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jc w:val="left"/>
              <w:rPr>
                <w:rFonts w:ascii="Times New Roman" w:hAnsi="Times New Roman" w:cs="Times New Roman"/>
                <w:szCs w:val="21"/>
              </w:rPr>
            </w:pPr>
            <w:r>
              <w:rPr>
                <w:rFonts w:ascii="Times New Roman" w:hAnsi="Times New Roman" w:cs="Times New Roman"/>
                <w:szCs w:val="21"/>
              </w:rPr>
              <w:t>西布曲尼</w:t>
            </w:r>
          </w:p>
          <w:p>
            <w:pPr>
              <w:jc w:val="left"/>
              <w:rPr>
                <w:rFonts w:ascii="Times New Roman" w:hAnsi="Times New Roman" w:cs="Times New Roman"/>
                <w:szCs w:val="21"/>
              </w:rPr>
            </w:pPr>
            <w:r>
              <w:rPr>
                <w:rFonts w:ascii="Times New Roman" w:hAnsi="Times New Roman" w:cs="Times New Roman"/>
                <w:szCs w:val="21"/>
              </w:rPr>
              <w:t>CAS号：28159-98-0</w:t>
            </w:r>
          </w:p>
        </w:tc>
        <w:tc>
          <w:tcPr>
            <w:tcW w:w="2130" w:type="dxa"/>
          </w:tcPr>
          <w:p>
            <w:pPr>
              <w:rPr>
                <w:rFonts w:ascii="Times New Roman" w:hAnsi="Times New Roman" w:cs="Times New Roman"/>
                <w:szCs w:val="21"/>
              </w:rPr>
            </w:pPr>
            <w:r>
              <w:rPr>
                <w:rFonts w:ascii="Times New Roman" w:hAnsi="Times New Roman" w:cs="Times New Roman"/>
                <w:szCs w:val="21"/>
              </w:rPr>
              <w:t>船舶不应使用或重新使用含有该物质的防污底系统。</w:t>
            </w:r>
          </w:p>
        </w:tc>
        <w:tc>
          <w:tcPr>
            <w:tcW w:w="2131" w:type="dxa"/>
          </w:tcPr>
          <w:p>
            <w:pPr>
              <w:rPr>
                <w:rFonts w:ascii="Times New Roman" w:hAnsi="Times New Roman" w:cs="Times New Roman"/>
                <w:szCs w:val="21"/>
              </w:rPr>
            </w:pPr>
            <w:r>
              <w:rPr>
                <w:rFonts w:ascii="Times New Roman" w:hAnsi="Times New Roman" w:cs="Times New Roman"/>
                <w:szCs w:val="21"/>
              </w:rPr>
              <w:t>所有船舶，但2023年1月1日之前建造且在2023年1月1日或之后未曾坞修的固定和浮式平台、FSUs和FPSO除外。</w:t>
            </w:r>
          </w:p>
        </w:tc>
        <w:tc>
          <w:tcPr>
            <w:tcW w:w="2131" w:type="dxa"/>
          </w:tcPr>
          <w:p>
            <w:pPr>
              <w:rPr>
                <w:rFonts w:ascii="Times New Roman" w:hAnsi="Times New Roman" w:cs="Times New Roman"/>
                <w:szCs w:val="21"/>
              </w:rPr>
            </w:pPr>
            <w:r>
              <w:rPr>
                <w:rFonts w:ascii="Times New Roman" w:hAnsi="Times New Roman" w:cs="Times New Roman"/>
                <w:szCs w:val="21"/>
              </w:rPr>
              <w:t>2023年1月1日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pPr>
              <w:jc w:val="left"/>
              <w:rPr>
                <w:rFonts w:ascii="Times New Roman" w:hAnsi="Times New Roman" w:cs="Times New Roman"/>
                <w:szCs w:val="21"/>
              </w:rPr>
            </w:pPr>
            <w:r>
              <w:rPr>
                <w:rFonts w:ascii="Times New Roman" w:hAnsi="Times New Roman" w:cs="Times New Roman"/>
                <w:szCs w:val="21"/>
              </w:rPr>
              <w:t>西布曲尼</w:t>
            </w:r>
          </w:p>
          <w:p>
            <w:pPr>
              <w:jc w:val="left"/>
              <w:rPr>
                <w:rFonts w:ascii="Times New Roman" w:hAnsi="Times New Roman" w:cs="Times New Roman"/>
                <w:szCs w:val="21"/>
              </w:rPr>
            </w:pPr>
            <w:r>
              <w:rPr>
                <w:rFonts w:ascii="Times New Roman" w:hAnsi="Times New Roman" w:cs="Times New Roman"/>
                <w:szCs w:val="21"/>
              </w:rPr>
              <w:t>CAS号：28159-98-0</w:t>
            </w:r>
          </w:p>
        </w:tc>
        <w:tc>
          <w:tcPr>
            <w:tcW w:w="2130" w:type="dxa"/>
          </w:tcPr>
          <w:p>
            <w:pPr>
              <w:rPr>
                <w:rFonts w:ascii="Times New Roman" w:hAnsi="Times New Roman" w:cs="Times New Roman"/>
                <w:szCs w:val="21"/>
              </w:rPr>
            </w:pPr>
            <w:r>
              <w:rPr>
                <w:rFonts w:ascii="Times New Roman" w:hAnsi="Times New Roman" w:cs="Times New Roman"/>
                <w:szCs w:val="21"/>
              </w:rPr>
              <w:t>2023年1月1日，在其船体或外部构件或表面的外部涂层中含有该物质的防污底系统的船舶应：</w:t>
            </w:r>
          </w:p>
          <w:p>
            <w:pPr>
              <w:rPr>
                <w:rFonts w:ascii="Times New Roman" w:hAnsi="Times New Roman" w:cs="Times New Roman"/>
                <w:szCs w:val="21"/>
              </w:rPr>
            </w:pPr>
            <w:r>
              <w:rPr>
                <w:rFonts w:ascii="Times New Roman" w:hAnsi="Times New Roman" w:cs="Times New Roman"/>
                <w:szCs w:val="21"/>
              </w:rPr>
              <w:t>（1）清除防污底系统；或</w:t>
            </w:r>
          </w:p>
          <w:p>
            <w:pPr>
              <w:rPr>
                <w:rFonts w:ascii="Times New Roman" w:hAnsi="Times New Roman" w:cs="Times New Roman"/>
                <w:szCs w:val="21"/>
              </w:rPr>
            </w:pPr>
            <w:r>
              <w:rPr>
                <w:rFonts w:ascii="Times New Roman" w:hAnsi="Times New Roman" w:cs="Times New Roman"/>
                <w:szCs w:val="21"/>
              </w:rPr>
              <w:t>（2）涂敷一层涂层，形成屏障以防止该物质从底层不合规防污底系统中渗出。</w:t>
            </w:r>
          </w:p>
        </w:tc>
        <w:tc>
          <w:tcPr>
            <w:tcW w:w="2131" w:type="dxa"/>
          </w:tcPr>
          <w:p>
            <w:pPr>
              <w:rPr>
                <w:rFonts w:ascii="Times New Roman" w:hAnsi="Times New Roman" w:cs="Times New Roman"/>
                <w:szCs w:val="21"/>
              </w:rPr>
            </w:pPr>
            <w:r>
              <w:rPr>
                <w:rFonts w:ascii="Times New Roman" w:hAnsi="Times New Roman" w:cs="Times New Roman"/>
                <w:szCs w:val="21"/>
              </w:rPr>
              <w:t>所有船舶，但2023年1月1日之前建造且在2023年1月1日或之后未曾坞修的固定和浮式平台、FSUs和FPSO除外。</w:t>
            </w:r>
          </w:p>
          <w:p>
            <w:pPr>
              <w:rPr>
                <w:rFonts w:ascii="Times New Roman" w:hAnsi="Times New Roman" w:cs="Times New Roman"/>
                <w:szCs w:val="21"/>
              </w:rPr>
            </w:pPr>
          </w:p>
        </w:tc>
        <w:tc>
          <w:tcPr>
            <w:tcW w:w="2131" w:type="dxa"/>
          </w:tcPr>
          <w:p>
            <w:pPr>
              <w:rPr>
                <w:rFonts w:ascii="Times New Roman" w:hAnsi="Times New Roman" w:cs="Times New Roman"/>
                <w:szCs w:val="21"/>
              </w:rPr>
            </w:pPr>
            <w:r>
              <w:rPr>
                <w:rFonts w:ascii="Times New Roman" w:hAnsi="Times New Roman" w:cs="Times New Roman"/>
                <w:szCs w:val="21"/>
              </w:rPr>
              <w:t>在2023年1月1日之后的防污底系统下一次计划更新时，但不迟于船舶最后一次应用含西布曲尼的防污底系统后的60个月。</w:t>
            </w:r>
          </w:p>
        </w:tc>
      </w:tr>
    </w:tbl>
    <w:p>
      <w:pPr>
        <w:adjustRightInd w:val="0"/>
        <w:snapToGrid w:val="0"/>
        <w:ind w:firstLine="420" w:firstLineChars="200"/>
        <w:jc w:val="left"/>
        <w:rPr>
          <w:rFonts w:ascii="宋体" w:hAnsi="宋体" w:cs="宋体"/>
          <w:color w:val="0000FF"/>
          <w:szCs w:val="21"/>
        </w:rPr>
      </w:pPr>
    </w:p>
    <w:p>
      <w:pPr>
        <w:adjustRightInd w:val="0"/>
        <w:snapToGrid w:val="0"/>
        <w:jc w:val="left"/>
        <w:rPr>
          <w:rFonts w:ascii="宋体" w:hAnsi="宋体" w:cs="宋体"/>
          <w:color w:val="0000FF"/>
          <w:szCs w:val="21"/>
        </w:rPr>
      </w:pPr>
    </w:p>
    <w:p>
      <w:pPr>
        <w:widowControl/>
        <w:ind w:firstLine="420" w:firstLineChars="200"/>
        <w:rPr>
          <w:rFonts w:ascii="楷体" w:hAnsi="楷体" w:eastAsia="楷体"/>
        </w:rPr>
      </w:pPr>
      <w:r>
        <w:rPr>
          <w:rFonts w:hint="eastAsia" w:ascii="楷体" w:hAnsi="楷体" w:eastAsia="楷体"/>
        </w:rPr>
        <w:t>原</w:t>
      </w:r>
      <w:r>
        <w:rPr>
          <w:rFonts w:ascii="Times New Roman" w:hAnsi="Times New Roman" w:eastAsia="楷体" w:cs="Times New Roman"/>
        </w:rPr>
        <w:t>II</w:t>
      </w:r>
      <w:r>
        <w:rPr>
          <w:rFonts w:hint="eastAsia" w:ascii="楷体" w:hAnsi="楷体" w:eastAsia="楷体"/>
        </w:rPr>
        <w:t>改为：</w:t>
      </w:r>
    </w:p>
    <w:p>
      <w:pPr>
        <w:pStyle w:val="36"/>
        <w:rPr>
          <w:rFonts w:hint="default" w:ascii="Times New Roman" w:hAnsi="Times New Roman"/>
          <w:color w:val="FF0000"/>
          <w:u w:val="single"/>
        </w:rPr>
      </w:pPr>
      <w:bookmarkStart w:id="115" w:name="_Toc2007"/>
      <w:r>
        <w:rPr>
          <w:rFonts w:ascii="宋体" w:hAnsi="宋体" w:eastAsia="宋体" w:cs="宋体"/>
          <w:sz w:val="21"/>
          <w:szCs w:val="21"/>
        </w:rPr>
        <w:t>“</w:t>
      </w:r>
      <w:r>
        <w:rPr>
          <w:rFonts w:ascii="Times New Roman" w:hAnsi="Times New Roman"/>
        </w:rPr>
        <w:t>II</w:t>
      </w:r>
      <w:r>
        <w:rPr>
          <w:rFonts w:ascii="Times New Roman" w:hAnsi="Times New Roman"/>
          <w:color w:val="FF0000"/>
          <w:u w:val="single"/>
        </w:rPr>
        <w:t>I</w:t>
      </w:r>
      <w:r>
        <w:rPr>
          <w:rFonts w:ascii="Times New Roman" w:hAnsi="Times New Roman"/>
        </w:rPr>
        <w:t xml:space="preserve"> 检验和发证要求</w:t>
      </w:r>
      <w:r>
        <w:rPr>
          <w:rFonts w:ascii="Times New Roman" w:hAnsi="Times New Roman"/>
          <w:color w:val="FF0000"/>
          <w:u w:val="single"/>
        </w:rPr>
        <w:t>（AFS公约附则4）</w:t>
      </w:r>
      <w:r>
        <w:rPr>
          <w:rFonts w:ascii="宋体" w:hAnsi="宋体" w:eastAsia="宋体" w:cs="宋体"/>
          <w:sz w:val="21"/>
          <w:szCs w:val="21"/>
        </w:rPr>
        <w:t>”</w:t>
      </w:r>
      <w:bookmarkEnd w:id="115"/>
    </w:p>
    <w:p>
      <w:pPr>
        <w:adjustRightInd w:val="0"/>
        <w:snapToGrid w:val="0"/>
        <w:ind w:left="1512"/>
        <w:jc w:val="center"/>
        <w:rPr>
          <w:rFonts w:ascii="宋体" w:hAnsi="宋体" w:cs="宋体"/>
          <w:b/>
          <w:szCs w:val="21"/>
        </w:rPr>
      </w:pPr>
    </w:p>
    <w:p>
      <w:pPr>
        <w:widowControl/>
        <w:ind w:firstLine="420" w:firstLineChars="200"/>
        <w:rPr>
          <w:rFonts w:ascii="楷体" w:hAnsi="楷体" w:eastAsia="楷体"/>
        </w:rPr>
      </w:pPr>
      <w:r>
        <w:rPr>
          <w:rFonts w:hint="eastAsia" w:ascii="楷体" w:hAnsi="楷体" w:eastAsia="楷体"/>
        </w:rPr>
        <w:t>原第4条改为：</w:t>
      </w:r>
    </w:p>
    <w:p>
      <w:pPr>
        <w:pStyle w:val="10"/>
        <w:jc w:val="center"/>
        <w:outlineLvl w:val="3"/>
        <w:rPr>
          <w:rFonts w:ascii="Times New Roman" w:hAnsi="Times New Roman" w:eastAsia="黑体"/>
          <w:bCs/>
        </w:rPr>
      </w:pPr>
      <w:bookmarkStart w:id="116" w:name="_Toc11425"/>
      <w:r>
        <w:rPr>
          <w:rFonts w:hint="eastAsia" w:hAnsi="宋体" w:eastAsia="宋体" w:cs="宋体"/>
        </w:rPr>
        <w:t>“</w:t>
      </w:r>
      <w:r>
        <w:rPr>
          <w:rFonts w:hint="eastAsia" w:ascii="Times New Roman" w:hAnsi="Times New Roman" w:eastAsia="黑体"/>
          <w:bCs/>
        </w:rPr>
        <w:t>第</w:t>
      </w:r>
      <w:r>
        <w:rPr>
          <w:rFonts w:ascii="Times New Roman" w:hAnsi="Times New Roman" w:eastAsia="黑体"/>
          <w:bCs/>
          <w:strike/>
          <w:color w:val="FF0000"/>
        </w:rPr>
        <w:t>4</w:t>
      </w:r>
      <w:r>
        <w:rPr>
          <w:rFonts w:hint="eastAsia" w:ascii="Times New Roman" w:hAnsi="Times New Roman" w:eastAsia="黑体"/>
          <w:bCs/>
          <w:strike/>
          <w:color w:val="FF0000"/>
        </w:rPr>
        <w:t xml:space="preserve"> </w:t>
      </w:r>
      <w:r>
        <w:rPr>
          <w:rFonts w:hint="eastAsia" w:ascii="Times New Roman" w:hAnsi="Times New Roman" w:eastAsia="黑体"/>
          <w:bCs/>
          <w:color w:val="FF0000"/>
          <w:u w:val="single"/>
        </w:rPr>
        <w:t>1</w:t>
      </w:r>
      <w:r>
        <w:rPr>
          <w:rFonts w:hint="eastAsia" w:ascii="Times New Roman" w:hAnsi="Times New Roman" w:eastAsia="黑体"/>
          <w:bCs/>
        </w:rPr>
        <w:t>条  检    验</w:t>
      </w:r>
      <w:bookmarkEnd w:id="116"/>
    </w:p>
    <w:p>
      <w:pPr>
        <w:adjustRightInd w:val="0"/>
        <w:snapToGrid w:val="0"/>
        <w:jc w:val="center"/>
        <w:rPr>
          <w:rFonts w:ascii="Times New Roman" w:hAnsi="Times New Roman" w:cs="Times New Roman"/>
          <w:szCs w:val="21"/>
        </w:rPr>
      </w:pP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1  凡从事国际航行的400总吨及以上的船舶，但不包括固定或浮动平台、浮式储存装置(FSUs)、浮式生产储存和卸货装置(FPSOs)，应接受下面规定的检验：</w:t>
      </w:r>
    </w:p>
    <w:p>
      <w:pPr>
        <w:adjustRightInd w:val="0"/>
        <w:snapToGrid w:val="0"/>
        <w:ind w:left="1155" w:leftChars="350" w:hanging="420" w:hangingChars="200"/>
        <w:rPr>
          <w:rFonts w:ascii="Times New Roman" w:hAnsi="Times New Roman" w:cs="Times New Roman"/>
          <w:szCs w:val="21"/>
        </w:rPr>
      </w:pPr>
      <w:r>
        <w:rPr>
          <w:rFonts w:ascii="Times New Roman" w:hAnsi="Times New Roman" w:cs="Times New Roman"/>
          <w:szCs w:val="21"/>
        </w:rPr>
        <w:t>(a) 船舶投入营运前或在</w:t>
      </w:r>
      <w:r>
        <w:rPr>
          <w:rFonts w:ascii="Times New Roman" w:hAnsi="Times New Roman" w:cs="Times New Roman"/>
          <w:strike/>
          <w:szCs w:val="21"/>
        </w:rPr>
        <w:t>本章第5或6条</w:t>
      </w:r>
      <w:r>
        <w:rPr>
          <w:rFonts w:ascii="Times New Roman" w:hAnsi="Times New Roman" w:cs="Times New Roman"/>
          <w:color w:val="FF0000"/>
          <w:szCs w:val="21"/>
          <w:u w:val="single"/>
        </w:rPr>
        <w:t>本附则第2或3条</w:t>
      </w:r>
      <w:r>
        <w:rPr>
          <w:rFonts w:ascii="Times New Roman" w:hAnsi="Times New Roman" w:cs="Times New Roman"/>
          <w:szCs w:val="21"/>
        </w:rPr>
        <w:t>所要求的《国际防污底系统证书》(证书)第一次签发前的初次检验。</w:t>
      </w:r>
    </w:p>
    <w:p>
      <w:pPr>
        <w:adjustRightInd w:val="0"/>
        <w:snapToGrid w:val="0"/>
        <w:ind w:left="1155" w:leftChars="350" w:hanging="420" w:hangingChars="200"/>
        <w:rPr>
          <w:rFonts w:ascii="Times New Roman" w:hAnsi="Times New Roman" w:cs="Times New Roman"/>
          <w:szCs w:val="21"/>
        </w:rPr>
      </w:pPr>
      <w:r>
        <w:rPr>
          <w:rFonts w:ascii="Times New Roman" w:hAnsi="Times New Roman" w:cs="Times New Roman"/>
          <w:szCs w:val="21"/>
        </w:rPr>
        <w:t>(b) 在改变或替换防污底系统时的一次检验。此种检验应在根据</w:t>
      </w:r>
      <w:r>
        <w:rPr>
          <w:rFonts w:ascii="Times New Roman" w:hAnsi="Times New Roman" w:cs="Times New Roman"/>
          <w:strike/>
          <w:szCs w:val="21"/>
        </w:rPr>
        <w:t>本章第5或6条</w:t>
      </w:r>
      <w:r>
        <w:rPr>
          <w:rFonts w:ascii="Times New Roman" w:hAnsi="Times New Roman" w:cs="Times New Roman"/>
          <w:color w:val="FF0000"/>
          <w:szCs w:val="21"/>
          <w:u w:val="single"/>
        </w:rPr>
        <w:t>本附则第2或3条</w:t>
      </w:r>
      <w:r>
        <w:rPr>
          <w:rFonts w:ascii="Times New Roman" w:hAnsi="Times New Roman" w:cs="Times New Roman"/>
          <w:szCs w:val="21"/>
        </w:rPr>
        <w:t>所签发的证书上签注。</w:t>
      </w:r>
    </w:p>
    <w:p>
      <w:pPr>
        <w:adjustRightInd w:val="0"/>
        <w:snapToGrid w:val="0"/>
        <w:ind w:left="1512" w:leftChars="200" w:hanging="1092" w:hangingChars="520"/>
        <w:rPr>
          <w:rFonts w:ascii="Times New Roman" w:hAnsi="Times New Roman" w:cs="Times New Roman"/>
          <w:dstrike/>
          <w:szCs w:val="21"/>
        </w:rPr>
      </w:pPr>
      <w:r>
        <w:rPr>
          <w:rFonts w:ascii="Times New Roman" w:hAnsi="Times New Roman" w:cs="Times New Roman"/>
          <w:szCs w:val="21"/>
        </w:rPr>
        <w:t>2  检验应确认船舶的防污底系统完全符合AFS公约要求。</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3(a)  为实施AFS公约而对船舶进行的检验应由主管机关正式授权的官员或按</w:t>
      </w:r>
      <w:r>
        <w:rPr>
          <w:rFonts w:ascii="Times New Roman" w:hAnsi="Times New Roman" w:cs="Times New Roman"/>
          <w:strike/>
          <w:szCs w:val="21"/>
        </w:rPr>
        <w:t>本章第6(1)条</w:t>
      </w:r>
      <w:r>
        <w:rPr>
          <w:rFonts w:ascii="Times New Roman" w:hAnsi="Times New Roman" w:cs="Times New Roman"/>
          <w:color w:val="FF0000"/>
          <w:szCs w:val="21"/>
          <w:u w:val="single"/>
        </w:rPr>
        <w:t>本附则第3（1）条</w:t>
      </w:r>
      <w:r>
        <w:rPr>
          <w:rFonts w:ascii="Times New Roman" w:hAnsi="Times New Roman" w:cs="Times New Roman"/>
          <w:szCs w:val="21"/>
        </w:rPr>
        <w:t>的规定，考虑国际海事组织（IMO）制定的检验指南</w:t>
      </w:r>
      <w:r>
        <w:rPr>
          <w:rFonts w:ascii="Times New Roman" w:hAnsi="Times New Roman" w:cs="Times New Roman"/>
          <w:szCs w:val="21"/>
          <w:vertAlign w:val="superscript"/>
        </w:rPr>
        <w:footnoteReference w:id="59"/>
      </w:r>
      <w:r>
        <w:rPr>
          <w:rFonts w:ascii="Times New Roman" w:hAnsi="Times New Roman" w:cs="Times New Roman"/>
          <w:szCs w:val="21"/>
        </w:rPr>
        <w:t>来进行。主管机关也可以将AFS公约要求的检验委托给指定的验船师或主管机关认可的组织来进行。</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3(b)  经主管机关授权的验船师或认可组织</w:t>
      </w:r>
      <w:r>
        <w:rPr>
          <w:rFonts w:ascii="Times New Roman" w:hAnsi="Times New Roman" w:cs="Times New Roman"/>
          <w:position w:val="4"/>
          <w:szCs w:val="21"/>
          <w:vertAlign w:val="superscript"/>
        </w:rPr>
        <w:footnoteReference w:id="60"/>
      </w:r>
      <w:r>
        <w:rPr>
          <w:rFonts w:ascii="Times New Roman" w:hAnsi="Times New Roman" w:cs="Times New Roman"/>
          <w:szCs w:val="21"/>
        </w:rPr>
        <w:t>能：</w:t>
      </w:r>
    </w:p>
    <w:p>
      <w:pPr>
        <w:adjustRightInd w:val="0"/>
        <w:snapToGrid w:val="0"/>
        <w:ind w:left="1512" w:leftChars="500" w:hanging="462" w:hangingChars="220"/>
        <w:rPr>
          <w:rFonts w:ascii="Times New Roman" w:hAnsi="Times New Roman" w:cs="Times New Roman"/>
          <w:szCs w:val="21"/>
        </w:rPr>
      </w:pPr>
      <w:r>
        <w:rPr>
          <w:rFonts w:ascii="Times New Roman" w:hAnsi="Times New Roman" w:cs="Times New Roman"/>
          <w:szCs w:val="21"/>
        </w:rPr>
        <w:t>(i) 要求其检验的船舶符合</w:t>
      </w:r>
      <w:r>
        <w:rPr>
          <w:rFonts w:ascii="Times New Roman" w:hAnsi="Times New Roman" w:cs="Times New Roman"/>
          <w:strike/>
          <w:szCs w:val="21"/>
        </w:rPr>
        <w:t>本章第3条</w:t>
      </w:r>
      <w:r>
        <w:rPr>
          <w:rFonts w:ascii="Times New Roman" w:hAnsi="Times New Roman" w:cs="Times New Roman"/>
          <w:bCs/>
          <w:color w:val="FF0000"/>
          <w:u w:val="single"/>
        </w:rPr>
        <w:t>AFS公约附则1</w:t>
      </w:r>
      <w:r>
        <w:rPr>
          <w:rFonts w:ascii="Times New Roman" w:hAnsi="Times New Roman" w:cs="Times New Roman"/>
          <w:szCs w:val="21"/>
        </w:rPr>
        <w:t xml:space="preserve">的要求；以及 </w:t>
      </w:r>
    </w:p>
    <w:p>
      <w:pPr>
        <w:adjustRightInd w:val="0"/>
        <w:snapToGrid w:val="0"/>
        <w:ind w:left="1512" w:leftChars="500" w:hanging="462" w:hangingChars="220"/>
        <w:rPr>
          <w:rFonts w:ascii="Times New Roman" w:hAnsi="Times New Roman" w:cs="Times New Roman"/>
          <w:szCs w:val="21"/>
        </w:rPr>
      </w:pPr>
      <w:r>
        <w:rPr>
          <w:rFonts w:ascii="Times New Roman" w:hAnsi="Times New Roman" w:cs="Times New Roman"/>
          <w:szCs w:val="21"/>
        </w:rPr>
        <w:t>(ii) 根据要求，代表AFS公约缔约国的港口当局实施检验。</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3(c)  如果主管机关、指定的验船师或认可的组织确定船舶的防污底系统与</w:t>
      </w:r>
      <w:r>
        <w:rPr>
          <w:rFonts w:ascii="Times New Roman" w:hAnsi="Times New Roman" w:cs="Times New Roman"/>
          <w:strike/>
          <w:szCs w:val="21"/>
        </w:rPr>
        <w:t>本章第5或6条</w:t>
      </w:r>
      <w:r>
        <w:rPr>
          <w:rFonts w:ascii="Times New Roman" w:hAnsi="Times New Roman" w:cs="Times New Roman"/>
          <w:color w:val="FF0000"/>
          <w:szCs w:val="21"/>
          <w:u w:val="single"/>
        </w:rPr>
        <w:t>本附则第2或3条</w:t>
      </w:r>
      <w:r>
        <w:rPr>
          <w:rFonts w:ascii="Times New Roman" w:hAnsi="Times New Roman" w:cs="Times New Roman"/>
          <w:szCs w:val="21"/>
        </w:rPr>
        <w:t xml:space="preserve">所要求证书的内容不符，或不符合AFS公约的要求，该主管机关、验船师或组织应确保立即采取纠正措施以使船舶符合要求。验船师或组织还应及时将该决定通知主管机关。如果船舶没有采取所要求的纠正措施，应立即通知主管机关，而主管机关则应保证不签发证书或将证书予以吊销。 </w:t>
      </w:r>
    </w:p>
    <w:p>
      <w:pPr>
        <w:adjustRightInd w:val="0"/>
        <w:snapToGrid w:val="0"/>
        <w:ind w:firstLine="420" w:firstLineChars="200"/>
        <w:rPr>
          <w:rFonts w:ascii="宋体" w:hAnsi="宋体" w:eastAsia="宋体" w:cs="宋体"/>
          <w:szCs w:val="21"/>
        </w:rPr>
      </w:pPr>
      <w:r>
        <w:rPr>
          <w:rFonts w:ascii="Times New Roman" w:hAnsi="Times New Roman" w:cs="Times New Roman"/>
          <w:szCs w:val="21"/>
        </w:rPr>
        <w:t>3(d) 在(c)所述的情况下，如果船舶在另一缔</w:t>
      </w:r>
      <w:r>
        <w:rPr>
          <w:rFonts w:hint="eastAsia" w:ascii="宋体" w:hAnsi="宋体" w:cs="宋体"/>
          <w:szCs w:val="21"/>
        </w:rPr>
        <w:t>约国的港口，应立即通知该港口国的有关当局。</w:t>
      </w:r>
      <w:r>
        <w:rPr>
          <w:rFonts w:hint="eastAsia" w:ascii="宋体" w:hAnsi="宋体" w:eastAsia="宋体" w:cs="宋体"/>
          <w:szCs w:val="21"/>
        </w:rPr>
        <w:t>”</w:t>
      </w:r>
    </w:p>
    <w:p>
      <w:pPr>
        <w:adjustRightInd w:val="0"/>
        <w:snapToGrid w:val="0"/>
        <w:ind w:firstLine="420" w:firstLineChars="200"/>
        <w:rPr>
          <w:rFonts w:ascii="宋体" w:hAnsi="宋体" w:eastAsia="宋体" w:cs="宋体"/>
          <w:szCs w:val="21"/>
        </w:rPr>
      </w:pPr>
    </w:p>
    <w:p>
      <w:pPr>
        <w:widowControl/>
        <w:ind w:firstLine="420" w:firstLineChars="200"/>
        <w:rPr>
          <w:rFonts w:ascii="楷体" w:hAnsi="楷体" w:eastAsia="楷体"/>
        </w:rPr>
      </w:pPr>
      <w:r>
        <w:rPr>
          <w:rFonts w:hint="eastAsia" w:ascii="楷体" w:hAnsi="楷体" w:eastAsia="楷体"/>
        </w:rPr>
        <w:t>原第5条改为：</w:t>
      </w:r>
    </w:p>
    <w:p>
      <w:pPr>
        <w:pStyle w:val="10"/>
        <w:jc w:val="center"/>
        <w:outlineLvl w:val="3"/>
        <w:rPr>
          <w:rFonts w:ascii="Times New Roman" w:hAnsi="Times New Roman" w:eastAsia="黑体"/>
          <w:bCs/>
        </w:rPr>
      </w:pPr>
      <w:bookmarkStart w:id="117" w:name="_Toc20363"/>
      <w:r>
        <w:rPr>
          <w:rFonts w:hint="eastAsia" w:hAnsi="宋体" w:eastAsia="宋体" w:cs="宋体"/>
        </w:rPr>
        <w:t>“</w:t>
      </w:r>
      <w:r>
        <w:rPr>
          <w:rFonts w:hint="eastAsia" w:ascii="Times New Roman" w:hAnsi="Times New Roman" w:eastAsia="黑体"/>
          <w:bCs/>
        </w:rPr>
        <w:t>第</w:t>
      </w:r>
      <w:r>
        <w:rPr>
          <w:rFonts w:ascii="Times New Roman" w:hAnsi="Times New Roman" w:eastAsia="黑体"/>
          <w:bCs/>
          <w:strike/>
        </w:rPr>
        <w:t>5</w:t>
      </w:r>
      <w:r>
        <w:rPr>
          <w:rFonts w:hint="eastAsia" w:ascii="Times New Roman" w:hAnsi="Times New Roman" w:eastAsia="黑体"/>
          <w:bCs/>
          <w:color w:val="FF0000"/>
          <w:u w:val="single"/>
        </w:rPr>
        <w:t>2</w:t>
      </w:r>
      <w:r>
        <w:rPr>
          <w:rFonts w:hint="eastAsia" w:ascii="Times New Roman" w:hAnsi="Times New Roman" w:eastAsia="黑体"/>
          <w:bCs/>
        </w:rPr>
        <w:t xml:space="preserve">条  </w:t>
      </w:r>
      <w:r>
        <w:rPr>
          <w:rFonts w:ascii="Times New Roman" w:hAnsi="Times New Roman" w:eastAsia="黑体"/>
          <w:bCs/>
        </w:rPr>
        <w:t>证书</w:t>
      </w:r>
      <w:r>
        <w:rPr>
          <w:rFonts w:hint="eastAsia" w:ascii="Times New Roman" w:hAnsi="Times New Roman" w:eastAsia="黑体"/>
          <w:bCs/>
        </w:rPr>
        <w:t>的签发或签署</w:t>
      </w:r>
      <w:bookmarkEnd w:id="117"/>
    </w:p>
    <w:p>
      <w:pPr>
        <w:adjustRightInd w:val="0"/>
        <w:snapToGrid w:val="0"/>
        <w:ind w:left="1512" w:hanging="1513"/>
        <w:jc w:val="center"/>
        <w:rPr>
          <w:rFonts w:ascii="宋体" w:hAnsi="宋体" w:cs="宋体"/>
          <w:szCs w:val="21"/>
        </w:rPr>
      </w:pP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strike/>
          <w:szCs w:val="21"/>
        </w:rPr>
        <w:t>本章第4条</w:t>
      </w:r>
      <w:r>
        <w:rPr>
          <w:rFonts w:ascii="Times New Roman" w:hAnsi="Times New Roman" w:cs="Times New Roman"/>
          <w:color w:val="FF0000"/>
          <w:szCs w:val="21"/>
          <w:u w:val="single"/>
        </w:rPr>
        <w:t>本附则第1条</w:t>
      </w:r>
      <w:r>
        <w:rPr>
          <w:rFonts w:ascii="Times New Roman" w:hAnsi="Times New Roman" w:cs="Times New Roman"/>
          <w:szCs w:val="21"/>
        </w:rPr>
        <w:t>所适用的船舶，在按</w:t>
      </w:r>
      <w:r>
        <w:rPr>
          <w:rFonts w:ascii="Times New Roman" w:hAnsi="Times New Roman" w:cs="Times New Roman"/>
          <w:strike/>
          <w:szCs w:val="21"/>
        </w:rPr>
        <w:t>本章第4条</w:t>
      </w:r>
      <w:r>
        <w:rPr>
          <w:rFonts w:ascii="Times New Roman" w:hAnsi="Times New Roman" w:cs="Times New Roman"/>
          <w:color w:val="FF0000"/>
          <w:szCs w:val="21"/>
          <w:u w:val="single"/>
        </w:rPr>
        <w:t>本附则第1条</w:t>
      </w:r>
      <w:r>
        <w:rPr>
          <w:rFonts w:ascii="Times New Roman" w:hAnsi="Times New Roman" w:cs="Times New Roman"/>
          <w:szCs w:val="21"/>
        </w:rPr>
        <w:t>进行的检验合格后予以签发一份《国际防污底系统证书》。</w:t>
      </w:r>
    </w:p>
    <w:p>
      <w:pPr>
        <w:adjustRightInd w:val="0"/>
        <w:snapToGrid w:val="0"/>
        <w:ind w:firstLine="420"/>
        <w:rPr>
          <w:rFonts w:ascii="Times New Roman" w:hAnsi="Times New Roman" w:cs="Times New Roman"/>
          <w:szCs w:val="21"/>
        </w:rPr>
      </w:pPr>
      <w:r>
        <w:rPr>
          <w:rFonts w:ascii="Times New Roman" w:hAnsi="Times New Roman" w:cs="Times New Roman"/>
          <w:szCs w:val="21"/>
        </w:rPr>
        <w:t>2  证书应由主管机关或经其正式授权的任何人员或组织签发或签署。不论哪种情况，主管机关应对证书负有全部责任。</w:t>
      </w:r>
    </w:p>
    <w:p>
      <w:pPr>
        <w:ind w:firstLine="420"/>
        <w:rPr>
          <w:color w:val="FF0000"/>
          <w:u w:val="single"/>
        </w:rPr>
      </w:pPr>
      <w:r>
        <w:rPr>
          <w:rFonts w:ascii="Times New Roman" w:hAnsi="Times New Roman" w:cs="Times New Roman"/>
          <w:color w:val="FF0000"/>
          <w:u w:val="single"/>
        </w:rPr>
        <w:t>3  对于施涂受</w:t>
      </w:r>
      <w:r>
        <w:rPr>
          <w:rFonts w:ascii="Times New Roman" w:hAnsi="Times New Roman" w:cs="Times New Roman"/>
          <w:bCs/>
          <w:color w:val="FF0000"/>
          <w:u w:val="single"/>
        </w:rPr>
        <w:t>AFS公约附则1</w:t>
      </w:r>
      <w:r>
        <w:rPr>
          <w:rFonts w:ascii="Times New Roman" w:hAnsi="Times New Roman" w:cs="Times New Roman"/>
          <w:color w:val="FF0000"/>
          <w:u w:val="single"/>
        </w:rPr>
        <w:t>控制的防污底系统且在该系统的控制生效之日之前应用的船舶，主管机关应在该控制生效后两年内按照本条1和2签发证书。本款不影响船舶符合第3</w:t>
      </w:r>
      <w:r>
        <w:rPr>
          <w:rFonts w:hint="eastAsia"/>
          <w:color w:val="FF0000"/>
          <w:u w:val="single"/>
        </w:rPr>
        <w:t>条所述的任何要求。</w:t>
      </w:r>
      <w:r>
        <w:rPr>
          <w:rFonts w:hint="eastAsia" w:ascii="宋体" w:hAnsi="宋体" w:eastAsia="宋体" w:cs="宋体"/>
          <w:szCs w:val="21"/>
        </w:rPr>
        <w:t>”</w:t>
      </w:r>
    </w:p>
    <w:p>
      <w:pPr>
        <w:adjustRightInd w:val="0"/>
        <w:snapToGrid w:val="0"/>
        <w:ind w:left="1512" w:hanging="1513"/>
        <w:jc w:val="left"/>
        <w:rPr>
          <w:rFonts w:ascii="宋体" w:hAnsi="宋体" w:cs="宋体"/>
          <w:szCs w:val="21"/>
        </w:rPr>
      </w:pPr>
    </w:p>
    <w:p>
      <w:pPr>
        <w:widowControl/>
        <w:ind w:firstLine="420" w:firstLineChars="200"/>
        <w:rPr>
          <w:rFonts w:ascii="楷体" w:hAnsi="楷体" w:eastAsia="楷体"/>
        </w:rPr>
      </w:pPr>
      <w:r>
        <w:rPr>
          <w:rFonts w:hint="eastAsia" w:ascii="楷体" w:hAnsi="楷体" w:eastAsia="楷体"/>
        </w:rPr>
        <w:t>原第6条改为：</w:t>
      </w:r>
    </w:p>
    <w:p>
      <w:pPr>
        <w:pStyle w:val="10"/>
        <w:jc w:val="center"/>
        <w:outlineLvl w:val="3"/>
        <w:rPr>
          <w:rFonts w:ascii="Times New Roman" w:hAnsi="Times New Roman" w:eastAsia="黑体" w:cs="Times New Roman"/>
          <w:bCs/>
        </w:rPr>
      </w:pPr>
      <w:bookmarkStart w:id="118" w:name="_Toc4518"/>
      <w:r>
        <w:rPr>
          <w:rFonts w:hint="eastAsia" w:hAnsi="宋体" w:eastAsia="宋体" w:cs="宋体"/>
        </w:rPr>
        <w:t>“</w:t>
      </w:r>
      <w:r>
        <w:rPr>
          <w:rFonts w:hint="eastAsia" w:ascii="Times New Roman" w:hAnsi="Times New Roman" w:eastAsia="黑体"/>
          <w:bCs/>
        </w:rPr>
        <w:t>第</w:t>
      </w:r>
      <w:r>
        <w:rPr>
          <w:rFonts w:ascii="Times New Roman" w:hAnsi="Times New Roman" w:eastAsia="黑体" w:cs="Times New Roman"/>
          <w:bCs/>
          <w:strike/>
        </w:rPr>
        <w:t>6</w:t>
      </w:r>
      <w:r>
        <w:rPr>
          <w:rFonts w:ascii="Times New Roman" w:hAnsi="Times New Roman" w:eastAsia="黑体" w:cs="Times New Roman"/>
          <w:bCs/>
          <w:color w:val="FF0000"/>
          <w:u w:val="single"/>
        </w:rPr>
        <w:t>3</w:t>
      </w:r>
      <w:r>
        <w:rPr>
          <w:rFonts w:ascii="Times New Roman" w:hAnsi="Times New Roman" w:eastAsia="黑体" w:cs="Times New Roman"/>
          <w:bCs/>
        </w:rPr>
        <w:t>条  他国签发或签署证书</w:t>
      </w:r>
      <w:bookmarkEnd w:id="118"/>
    </w:p>
    <w:p>
      <w:pPr>
        <w:adjustRightInd w:val="0"/>
        <w:snapToGrid w:val="0"/>
        <w:ind w:left="1512" w:hanging="1513"/>
        <w:jc w:val="center"/>
        <w:rPr>
          <w:rFonts w:ascii="Times New Roman" w:hAnsi="Times New Roman" w:cs="Times New Roman"/>
          <w:szCs w:val="21"/>
        </w:rPr>
      </w:pP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 xml:space="preserve">1  应主管机关的要求，另一缔约国可指派人员对船舶进行检验，并且如果认为符合AFS公约，应根据AFS公约向该船舶签发或授权签发一份《国际防污底系统证书》，或者为该船舶签署或授权签署证书（如适用）。 </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2  应尽速将一份证书副本和一份检验报告副本送交要求进行该项检验的主管机关。</w:t>
      </w:r>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3  这样签发的证书应载明该证书是应本条1中所述的主管机关的请求而签发的，应与该主管机关签发的证书具有同等效力和得到同样承认。</w:t>
      </w:r>
    </w:p>
    <w:p>
      <w:pPr>
        <w:adjustRightInd w:val="0"/>
        <w:snapToGrid w:val="0"/>
        <w:ind w:left="1512" w:leftChars="200" w:hanging="1092" w:hangingChars="520"/>
        <w:rPr>
          <w:rFonts w:ascii="宋体" w:hAnsi="宋体" w:cs="宋体"/>
          <w:szCs w:val="21"/>
        </w:rPr>
      </w:pPr>
      <w:r>
        <w:rPr>
          <w:rFonts w:ascii="Times New Roman" w:hAnsi="Times New Roman" w:cs="Times New Roman"/>
          <w:szCs w:val="21"/>
        </w:rPr>
        <w:t>4  对悬挂非缔约国国旗的船舶，</w:t>
      </w:r>
      <w:r>
        <w:rPr>
          <w:rFonts w:ascii="Times New Roman" w:hAnsi="Times New Roman" w:cs="Times New Roman"/>
          <w:strike/>
          <w:szCs w:val="21"/>
        </w:rPr>
        <w:t>不得</w:t>
      </w:r>
      <w:r>
        <w:rPr>
          <w:rFonts w:hint="eastAsia" w:ascii="宋体" w:hAnsi="宋体" w:cs="宋体"/>
          <w:strike/>
          <w:szCs w:val="21"/>
        </w:rPr>
        <w:t>发给</w:t>
      </w:r>
      <w:r>
        <w:rPr>
          <w:rFonts w:hint="eastAsia" w:ascii="宋体" w:hAnsi="宋体" w:cs="宋体"/>
          <w:color w:val="FF0000"/>
          <w:szCs w:val="21"/>
          <w:u w:val="single"/>
        </w:rPr>
        <w:t>不应签发</w:t>
      </w:r>
      <w:r>
        <w:rPr>
          <w:rFonts w:hint="eastAsia" w:ascii="宋体" w:hAnsi="宋体" w:cs="宋体"/>
          <w:szCs w:val="21"/>
        </w:rPr>
        <w:t>《国际防污底系统证书》。”</w:t>
      </w:r>
    </w:p>
    <w:p>
      <w:pPr>
        <w:adjustRightInd w:val="0"/>
        <w:snapToGrid w:val="0"/>
        <w:ind w:left="1512" w:hanging="1513"/>
        <w:jc w:val="center"/>
        <w:rPr>
          <w:rFonts w:ascii="宋体" w:hAnsi="宋体" w:cs="宋体"/>
          <w:szCs w:val="21"/>
        </w:rPr>
      </w:pPr>
    </w:p>
    <w:p>
      <w:pPr>
        <w:adjustRightInd w:val="0"/>
        <w:snapToGrid w:val="0"/>
        <w:ind w:left="1512" w:hanging="1513"/>
        <w:jc w:val="center"/>
        <w:rPr>
          <w:rFonts w:ascii="宋体" w:hAnsi="宋体" w:cs="宋体"/>
          <w:szCs w:val="21"/>
        </w:rPr>
      </w:pPr>
    </w:p>
    <w:p>
      <w:pPr>
        <w:widowControl/>
        <w:ind w:firstLine="420" w:firstLineChars="200"/>
        <w:rPr>
          <w:rFonts w:ascii="楷体" w:hAnsi="楷体" w:eastAsia="楷体"/>
        </w:rPr>
      </w:pPr>
      <w:r>
        <w:rPr>
          <w:rFonts w:hint="eastAsia" w:ascii="楷体" w:hAnsi="楷体" w:eastAsia="楷体"/>
        </w:rPr>
        <w:t>原第7条改为：</w:t>
      </w:r>
    </w:p>
    <w:p>
      <w:pPr>
        <w:pStyle w:val="10"/>
        <w:jc w:val="center"/>
        <w:outlineLvl w:val="3"/>
        <w:rPr>
          <w:rFonts w:ascii="Times New Roman" w:hAnsi="Times New Roman" w:eastAsia="黑体"/>
          <w:bCs/>
        </w:rPr>
      </w:pPr>
      <w:bookmarkStart w:id="119" w:name="_Toc28350"/>
      <w:r>
        <w:rPr>
          <w:rFonts w:hint="eastAsia" w:hAnsi="宋体" w:eastAsia="宋体" w:cs="宋体"/>
        </w:rPr>
        <w:t>“</w:t>
      </w:r>
      <w:r>
        <w:rPr>
          <w:rFonts w:hint="eastAsia" w:ascii="Times New Roman" w:hAnsi="Times New Roman" w:eastAsia="黑体"/>
          <w:bCs/>
        </w:rPr>
        <w:t>第</w:t>
      </w:r>
      <w:r>
        <w:rPr>
          <w:rFonts w:ascii="Times New Roman" w:hAnsi="Times New Roman" w:eastAsia="黑体"/>
          <w:bCs/>
          <w:strike/>
        </w:rPr>
        <w:t>7</w:t>
      </w:r>
      <w:r>
        <w:rPr>
          <w:rFonts w:hint="eastAsia" w:ascii="Times New Roman" w:hAnsi="Times New Roman" w:eastAsia="黑体"/>
          <w:bCs/>
          <w:color w:val="FF0000"/>
          <w:u w:val="single"/>
        </w:rPr>
        <w:t>4</w:t>
      </w:r>
      <w:r>
        <w:rPr>
          <w:rFonts w:hint="eastAsia" w:ascii="Times New Roman" w:hAnsi="Times New Roman" w:eastAsia="黑体"/>
          <w:bCs/>
        </w:rPr>
        <w:t>条  证书的有效性</w:t>
      </w:r>
      <w:bookmarkEnd w:id="119"/>
    </w:p>
    <w:p>
      <w:pPr>
        <w:adjustRightInd w:val="0"/>
        <w:snapToGrid w:val="0"/>
        <w:ind w:left="1512" w:hanging="1513"/>
        <w:jc w:val="center"/>
        <w:rPr>
          <w:rFonts w:ascii="宋体" w:hAnsi="宋体" w:cs="宋体"/>
          <w:szCs w:val="21"/>
        </w:rPr>
      </w:pPr>
    </w:p>
    <w:p>
      <w:pPr>
        <w:adjustRightInd w:val="0"/>
        <w:snapToGrid w:val="0"/>
        <w:ind w:left="1512" w:leftChars="200" w:hanging="1092" w:hangingChars="520"/>
        <w:rPr>
          <w:rFonts w:ascii="宋体" w:hAnsi="宋体" w:cs="宋体"/>
          <w:szCs w:val="21"/>
        </w:rPr>
      </w:pPr>
      <w:r>
        <w:rPr>
          <w:rFonts w:ascii="宋体" w:hAnsi="宋体"/>
          <w:szCs w:val="21"/>
        </w:rPr>
        <w:t xml:space="preserve">1 </w:t>
      </w:r>
      <w:r>
        <w:rPr>
          <w:rFonts w:hint="eastAsia" w:ascii="宋体" w:hAnsi="宋体"/>
          <w:szCs w:val="21"/>
        </w:rPr>
        <w:t xml:space="preserve"> </w:t>
      </w:r>
      <w:r>
        <w:rPr>
          <w:rFonts w:hint="eastAsia" w:ascii="宋体" w:hAnsi="宋体" w:cs="宋体"/>
          <w:szCs w:val="21"/>
        </w:rPr>
        <w:t>按</w:t>
      </w:r>
      <w:r>
        <w:rPr>
          <w:rFonts w:hint="eastAsia" w:ascii="宋体" w:hAnsi="宋体" w:cs="宋体"/>
          <w:strike/>
          <w:szCs w:val="21"/>
        </w:rPr>
        <w:t>本章第</w:t>
      </w:r>
      <w:r>
        <w:rPr>
          <w:rFonts w:ascii="宋体" w:hAnsi="宋体"/>
          <w:strike/>
          <w:szCs w:val="21"/>
        </w:rPr>
        <w:t>5</w:t>
      </w:r>
      <w:r>
        <w:rPr>
          <w:rFonts w:hint="eastAsia" w:ascii="宋体" w:hAnsi="宋体" w:cs="宋体"/>
          <w:strike/>
          <w:szCs w:val="21"/>
        </w:rPr>
        <w:t>或</w:t>
      </w:r>
      <w:r>
        <w:rPr>
          <w:rFonts w:ascii="宋体" w:hAnsi="宋体"/>
          <w:strike/>
          <w:szCs w:val="21"/>
        </w:rPr>
        <w:t>6</w:t>
      </w:r>
      <w:r>
        <w:rPr>
          <w:rFonts w:hint="eastAsia" w:ascii="宋体" w:hAnsi="宋体" w:cs="宋体"/>
          <w:strike/>
          <w:szCs w:val="21"/>
        </w:rPr>
        <w:t>条</w:t>
      </w:r>
      <w:r>
        <w:rPr>
          <w:rFonts w:hint="eastAsia" w:ascii="宋体" w:hAnsi="宋体" w:cs="宋体"/>
          <w:color w:val="FF0000"/>
          <w:szCs w:val="21"/>
          <w:u w:val="single"/>
        </w:rPr>
        <w:t>本附则第2或第3条</w:t>
      </w:r>
      <w:r>
        <w:rPr>
          <w:rFonts w:hint="eastAsia" w:ascii="宋体" w:hAnsi="宋体" w:cs="宋体"/>
          <w:szCs w:val="21"/>
        </w:rPr>
        <w:t>签发的《国际防污底系统证书》在下列任一情况下均不再有效：</w:t>
      </w:r>
    </w:p>
    <w:p>
      <w:pPr>
        <w:adjustRightInd w:val="0"/>
        <w:snapToGrid w:val="0"/>
        <w:ind w:left="1512" w:leftChars="300" w:hanging="882" w:hangingChars="420"/>
        <w:rPr>
          <w:rFonts w:ascii="宋体" w:hAnsi="宋体" w:cs="宋体"/>
          <w:szCs w:val="21"/>
        </w:rPr>
      </w:pPr>
      <w:r>
        <w:rPr>
          <w:rFonts w:ascii="宋体" w:hAnsi="宋体"/>
          <w:szCs w:val="21"/>
        </w:rPr>
        <w:t>(a)</w:t>
      </w:r>
      <w:r>
        <w:rPr>
          <w:rFonts w:ascii="宋体" w:hAnsi="宋体" w:cs="宋体"/>
          <w:szCs w:val="21"/>
        </w:rPr>
        <w:t xml:space="preserve"> 如果改变或更换了防污底系统而证书未根据AFS公约予以签署；和</w:t>
      </w:r>
    </w:p>
    <w:p>
      <w:pPr>
        <w:adjustRightInd w:val="0"/>
        <w:snapToGrid w:val="0"/>
        <w:ind w:firstLine="630" w:firstLineChars="300"/>
        <w:rPr>
          <w:rFonts w:ascii="宋体" w:hAnsi="宋体" w:cs="宋体"/>
          <w:dstrike/>
          <w:szCs w:val="21"/>
        </w:rPr>
      </w:pPr>
      <w:r>
        <w:rPr>
          <w:rFonts w:ascii="宋体" w:hAnsi="宋体"/>
          <w:szCs w:val="21"/>
        </w:rPr>
        <w:t xml:space="preserve">(b) </w:t>
      </w:r>
      <w:r>
        <w:rPr>
          <w:rFonts w:hint="eastAsia" w:ascii="宋体" w:hAnsi="宋体" w:cs="宋体"/>
          <w:szCs w:val="21"/>
        </w:rPr>
        <w:t>在船舶改挂另一国国旗时。</w:t>
      </w:r>
    </w:p>
    <w:p>
      <w:pPr>
        <w:adjustRightInd w:val="0"/>
        <w:snapToGrid w:val="0"/>
        <w:ind w:firstLine="485" w:firstLineChars="231"/>
        <w:rPr>
          <w:rFonts w:ascii="宋体" w:hAnsi="宋体" w:cs="宋体"/>
          <w:szCs w:val="21"/>
        </w:rPr>
      </w:pPr>
      <w:r>
        <w:rPr>
          <w:rFonts w:ascii="宋体" w:hAnsi="宋体"/>
          <w:szCs w:val="21"/>
        </w:rPr>
        <w:t xml:space="preserve">2 </w:t>
      </w:r>
      <w:r>
        <w:rPr>
          <w:rFonts w:hint="eastAsia" w:ascii="宋体" w:hAnsi="宋体"/>
          <w:szCs w:val="21"/>
        </w:rPr>
        <w:t xml:space="preserve"> </w:t>
      </w:r>
      <w:r>
        <w:rPr>
          <w:rFonts w:hint="eastAsia" w:ascii="宋体" w:hAnsi="宋体" w:cs="宋体"/>
          <w:szCs w:val="21"/>
        </w:rPr>
        <w:t>主管机关可以根据一次新的检验或船舶以前的船旗国所签发的有效证书对从另一缔约国转来的船舶签发新证书。”</w:t>
      </w:r>
    </w:p>
    <w:p>
      <w:pPr>
        <w:ind w:left="1512"/>
        <w:jc w:val="center"/>
        <w:rPr>
          <w:rFonts w:ascii="宋体" w:hAnsi="宋体"/>
          <w:sz w:val="24"/>
        </w:rPr>
      </w:pPr>
    </w:p>
    <w:p>
      <w:pPr>
        <w:widowControl/>
        <w:ind w:firstLine="420" w:firstLineChars="200"/>
        <w:rPr>
          <w:rFonts w:ascii="楷体" w:hAnsi="楷体" w:eastAsia="楷体"/>
        </w:rPr>
      </w:pPr>
      <w:r>
        <w:rPr>
          <w:rFonts w:hint="eastAsia" w:ascii="楷体" w:hAnsi="楷体" w:eastAsia="楷体"/>
        </w:rPr>
        <w:t>自2023年1月1日，原第8条改为：</w:t>
      </w:r>
    </w:p>
    <w:p>
      <w:pPr>
        <w:pStyle w:val="10"/>
        <w:jc w:val="center"/>
        <w:outlineLvl w:val="3"/>
        <w:rPr>
          <w:rFonts w:hAnsi="宋体" w:cs="宋体"/>
        </w:rPr>
      </w:pPr>
      <w:bookmarkStart w:id="120" w:name="_Toc16751"/>
      <w:r>
        <w:rPr>
          <w:rFonts w:hint="eastAsia" w:hAnsi="宋体" w:eastAsia="宋体" w:cs="宋体"/>
        </w:rPr>
        <w:t>“</w:t>
      </w:r>
      <w:r>
        <w:rPr>
          <w:rFonts w:hint="eastAsia" w:ascii="Times New Roman" w:hAnsi="Times New Roman" w:eastAsia="黑体"/>
          <w:bCs/>
        </w:rPr>
        <w:t>第</w:t>
      </w:r>
      <w:r>
        <w:rPr>
          <w:rFonts w:ascii="Times New Roman" w:hAnsi="Times New Roman" w:eastAsia="黑体"/>
          <w:bCs/>
          <w:strike/>
        </w:rPr>
        <w:t>8</w:t>
      </w:r>
      <w:r>
        <w:rPr>
          <w:rFonts w:hint="eastAsia" w:ascii="Times New Roman" w:hAnsi="Times New Roman" w:eastAsia="黑体"/>
          <w:bCs/>
          <w:color w:val="FF0000"/>
          <w:u w:val="single"/>
        </w:rPr>
        <w:t>5</w:t>
      </w:r>
      <w:r>
        <w:rPr>
          <w:rFonts w:hint="eastAsia" w:ascii="Times New Roman" w:hAnsi="Times New Roman" w:eastAsia="黑体"/>
          <w:bCs/>
        </w:rPr>
        <w:t>条  《防污底系统声明》</w:t>
      </w:r>
      <w:bookmarkEnd w:id="120"/>
    </w:p>
    <w:p>
      <w:pPr>
        <w:adjustRightInd w:val="0"/>
        <w:snapToGrid w:val="0"/>
        <w:ind w:firstLine="420" w:firstLineChars="200"/>
        <w:rPr>
          <w:rFonts w:ascii="Times New Roman" w:hAnsi="Times New Roman" w:cs="Times New Roman"/>
          <w:szCs w:val="21"/>
        </w:rPr>
      </w:pPr>
      <w:r>
        <w:rPr>
          <w:rFonts w:ascii="Times New Roman" w:hAnsi="Times New Roman" w:cs="Times New Roman"/>
          <w:szCs w:val="21"/>
        </w:rPr>
        <w:t>1  本章第1条所适用的长度为24m或以上但小于400总吨的国际航行船舶(不包括固定或浮动平台、FSUs和FPSOs)，应携带1份由船舶所有人或船舶所有人授权的代理所签署的声明。该声明还应辅以适当的单证(例如油漆收据或承包商的发票)或包括适当的签字。</w:t>
      </w:r>
    </w:p>
    <w:p>
      <w:pPr>
        <w:adjustRightInd w:val="0"/>
        <w:snapToGrid w:val="0"/>
        <w:ind w:firstLine="420" w:firstLineChars="200"/>
        <w:rPr>
          <w:rFonts w:ascii="宋体" w:hAnsi="宋体" w:cs="宋体"/>
          <w:szCs w:val="21"/>
        </w:rPr>
      </w:pPr>
      <w:r>
        <w:rPr>
          <w:rFonts w:ascii="Times New Roman" w:hAnsi="Times New Roman" w:cs="Times New Roman"/>
          <w:szCs w:val="21"/>
        </w:rPr>
        <w:t>2  声明应按AFS公约附则4附录2中所规定的格式，至少用中</w:t>
      </w:r>
      <w:r>
        <w:rPr>
          <w:rFonts w:hint="eastAsia" w:ascii="宋体" w:hAnsi="宋体" w:cs="宋体"/>
          <w:szCs w:val="21"/>
        </w:rPr>
        <w:t>英文写成。在出现争议或不一致的情况时，应以中文为准。”</w:t>
      </w:r>
    </w:p>
    <w:p>
      <w:pPr>
        <w:adjustRightInd w:val="0"/>
        <w:snapToGrid w:val="0"/>
        <w:ind w:firstLine="420" w:firstLineChars="200"/>
        <w:rPr>
          <w:rFonts w:ascii="宋体" w:hAnsi="宋体" w:cs="宋体"/>
          <w:szCs w:val="21"/>
        </w:rPr>
      </w:pPr>
    </w:p>
    <w:p>
      <w:pPr>
        <w:adjustRightInd w:val="0"/>
        <w:snapToGrid w:val="0"/>
        <w:rPr>
          <w:rFonts w:ascii="宋体" w:hAnsi="宋体"/>
          <w:szCs w:val="21"/>
        </w:rPr>
      </w:pPr>
    </w:p>
    <w:p>
      <w:pPr>
        <w:ind w:left="84" w:leftChars="40"/>
        <w:rPr>
          <w:rFonts w:ascii="宋体" w:hAnsi="宋体" w:cs="宋体"/>
          <w:color w:val="0000FF"/>
          <w:szCs w:val="21"/>
        </w:rPr>
      </w:pPr>
    </w:p>
    <w:p>
      <w:pPr>
        <w:ind w:left="84" w:leftChars="40"/>
        <w:rPr>
          <w:rFonts w:ascii="宋体" w:hAnsi="宋体" w:cs="宋体"/>
          <w:color w:val="0000FF"/>
          <w:szCs w:val="21"/>
        </w:rPr>
      </w:pPr>
    </w:p>
    <w:p>
      <w:pPr>
        <w:widowControl/>
        <w:jc w:val="left"/>
        <w:rPr>
          <w:rFonts w:ascii="宋体" w:hAnsi="宋体"/>
          <w:szCs w:val="21"/>
        </w:rPr>
      </w:pPr>
      <w:r>
        <w:rPr>
          <w:rFonts w:ascii="宋体" w:hAnsi="宋体"/>
          <w:szCs w:val="21"/>
        </w:rPr>
        <w:br w:type="page"/>
      </w:r>
    </w:p>
    <w:p>
      <w:pPr>
        <w:widowControl/>
        <w:ind w:firstLine="420" w:firstLineChars="200"/>
        <w:rPr>
          <w:rFonts w:ascii="楷体" w:hAnsi="楷体" w:eastAsia="楷体"/>
        </w:rPr>
      </w:pPr>
      <w:r>
        <w:rPr>
          <w:rFonts w:hint="eastAsia" w:ascii="楷体" w:hAnsi="楷体" w:eastAsia="楷体"/>
        </w:rPr>
        <w:t>自2023年1月1日，原附录I改为：</w:t>
      </w:r>
    </w:p>
    <w:p>
      <w:pPr>
        <w:adjustRightInd w:val="0"/>
        <w:snapToGrid w:val="0"/>
        <w:jc w:val="center"/>
        <w:outlineLvl w:val="0"/>
        <w:rPr>
          <w:rFonts w:ascii="宋体" w:hAnsi="Courier New" w:cs="Courier New"/>
          <w:color w:val="FF0000"/>
          <w:szCs w:val="21"/>
          <w:u w:val="single"/>
        </w:rPr>
      </w:pPr>
      <w:bookmarkStart w:id="121" w:name="_Toc20191"/>
      <w:r>
        <w:rPr>
          <w:rFonts w:hint="eastAsia" w:ascii="宋体" w:hAnsi="宋体" w:eastAsia="宋体" w:cs="宋体"/>
          <w:szCs w:val="21"/>
        </w:rPr>
        <w:t>“</w:t>
      </w:r>
      <w:r>
        <w:rPr>
          <w:rFonts w:hint="eastAsia" w:ascii="Times New Roman" w:hAnsi="Times New Roman" w:eastAsia="黑体" w:cs="Times New Roman"/>
          <w:sz w:val="32"/>
          <w:szCs w:val="32"/>
          <w:lang w:bidi="ar"/>
        </w:rPr>
        <w:t>附录</w:t>
      </w:r>
      <w:r>
        <w:rPr>
          <w:rFonts w:ascii="Times New Roman" w:hAnsi="Times New Roman" w:eastAsia="黑体"/>
          <w:sz w:val="32"/>
          <w:szCs w:val="32"/>
          <w:lang w:bidi="ar"/>
        </w:rPr>
        <w:t>I</w:t>
      </w:r>
      <w:r>
        <w:rPr>
          <w:rFonts w:hint="eastAsia" w:ascii="Times New Roman" w:hAnsi="Times New Roman" w:eastAsia="黑体" w:cs="Times New Roman"/>
          <w:sz w:val="32"/>
          <w:szCs w:val="32"/>
          <w:lang w:bidi="ar"/>
        </w:rPr>
        <w:t xml:space="preserve">  《国际防污底系统证书》格式</w:t>
      </w:r>
      <w:r>
        <w:rPr>
          <w:rStyle w:val="33"/>
          <w:rFonts w:ascii="宋体" w:hAnsi="Courier New" w:cs="Courier New"/>
          <w:b/>
          <w:color w:val="FF0000"/>
          <w:szCs w:val="21"/>
          <w:u w:val="single"/>
        </w:rPr>
        <w:footnoteReference w:id="61"/>
      </w:r>
      <w:r>
        <w:rPr>
          <w:rFonts w:hint="eastAsia" w:ascii="宋体" w:hAnsi="宋体" w:cs="宋体"/>
          <w:szCs w:val="21"/>
        </w:rPr>
        <w:t>”</w:t>
      </w:r>
      <w:bookmarkEnd w:id="121"/>
    </w:p>
    <w:p>
      <w:pPr>
        <w:ind w:left="84" w:leftChars="40"/>
        <w:rPr>
          <w:rFonts w:ascii="宋体" w:hAnsi="宋体" w:cs="宋体"/>
          <w:color w:val="0000FF"/>
          <w:szCs w:val="21"/>
        </w:rPr>
      </w:pPr>
    </w:p>
    <w:p>
      <w:pPr>
        <w:pStyle w:val="10"/>
        <w:autoSpaceDE w:val="0"/>
        <w:autoSpaceDN w:val="0"/>
        <w:adjustRightInd w:val="0"/>
        <w:jc w:val="center"/>
        <w:rPr>
          <w:rFonts w:ascii="Times New Roman" w:hAnsi="Times New Roman" w:cs="Times New Roman"/>
        </w:rPr>
      </w:pPr>
      <w:r>
        <w:rPr>
          <w:szCs w:val="24"/>
        </w:rPr>
        <w:br w:type="page"/>
      </w:r>
    </w:p>
    <w:p>
      <w:pPr>
        <w:pStyle w:val="35"/>
        <w:numPr>
          <w:ilvl w:val="0"/>
          <w:numId w:val="4"/>
        </w:numPr>
        <w:outlineLvl w:val="0"/>
        <w:rPr>
          <w:rFonts w:hint="default" w:ascii="Times New Roman" w:hAnsi="Times New Roman" w:cs="Times New Roman"/>
        </w:rPr>
      </w:pPr>
      <w:r>
        <w:rPr>
          <w:rFonts w:hint="default" w:ascii="Times New Roman" w:hAnsi="Times New Roman" w:cs="Times New Roman"/>
        </w:rPr>
        <w:t xml:space="preserve"> </w:t>
      </w:r>
      <w:r>
        <w:rPr>
          <w:rFonts w:ascii="Times New Roman" w:hAnsi="Times New Roman" w:cs="Times New Roman"/>
        </w:rPr>
        <w:t xml:space="preserve"> </w:t>
      </w:r>
      <w:bookmarkStart w:id="122" w:name="_Toc94175495"/>
      <w:bookmarkStart w:id="123" w:name="_Toc3000"/>
      <w:r>
        <w:rPr>
          <w:rFonts w:hint="default" w:ascii="Times New Roman" w:hAnsi="Times New Roman" w:cs="Times New Roman"/>
        </w:rPr>
        <w:t>船舶压载水和沉积物控制和管理规则</w:t>
      </w:r>
      <w:bookmarkEnd w:id="122"/>
      <w:bookmarkEnd w:id="123"/>
    </w:p>
    <w:p>
      <w:pPr>
        <w:pStyle w:val="10"/>
        <w:rPr>
          <w:rFonts w:ascii="Times New Roman" w:hAnsi="Times New Roman" w:eastAsia="宋体" w:cs="Times New Roman"/>
          <w:sz w:val="32"/>
          <w:szCs w:val="32"/>
          <w:lang w:bidi="ar"/>
        </w:rPr>
      </w:pPr>
    </w:p>
    <w:p>
      <w:pPr>
        <w:pStyle w:val="36"/>
        <w:rPr>
          <w:rFonts w:hint="default" w:ascii="Times New Roman" w:hAnsi="Times New Roman"/>
        </w:rPr>
      </w:pPr>
      <w:bookmarkStart w:id="124" w:name="_Toc94175499"/>
      <w:bookmarkStart w:id="125" w:name="_Toc1182"/>
      <w:r>
        <w:rPr>
          <w:rFonts w:ascii="Times New Roman" w:hAnsi="Times New Roman"/>
        </w:rPr>
        <w:t>D部分  压载水管理标准</w:t>
      </w:r>
      <w:bookmarkEnd w:id="124"/>
      <w:bookmarkEnd w:id="125"/>
    </w:p>
    <w:p>
      <w:pPr>
        <w:pStyle w:val="10"/>
        <w:rPr>
          <w:rFonts w:ascii="Times New Roman" w:hAnsi="Times New Roman" w:eastAsia="宋体" w:cs="Times New Roman"/>
          <w:sz w:val="28"/>
          <w:szCs w:val="28"/>
          <w:lang w:bidi="ar"/>
        </w:rPr>
      </w:pPr>
    </w:p>
    <w:p>
      <w:pPr>
        <w:pStyle w:val="10"/>
        <w:jc w:val="center"/>
        <w:outlineLvl w:val="3"/>
        <w:rPr>
          <w:rFonts w:ascii="Times New Roman" w:hAnsi="Times New Roman" w:eastAsia="黑体" w:cs="Times New Roman"/>
          <w:bCs/>
        </w:rPr>
      </w:pPr>
      <w:bookmarkStart w:id="126" w:name="_Toc11981"/>
      <w:r>
        <w:rPr>
          <w:rFonts w:hint="eastAsia" w:ascii="Times New Roman" w:hAnsi="Times New Roman" w:eastAsia="黑体" w:cs="Times New Roman"/>
          <w:bCs/>
        </w:rPr>
        <w:t>第D-3条  压载水管理系统的批准要求</w:t>
      </w:r>
      <w:bookmarkEnd w:id="126"/>
    </w:p>
    <w:p>
      <w:pPr>
        <w:pStyle w:val="10"/>
        <w:ind w:firstLine="420"/>
        <w:rPr>
          <w:rFonts w:ascii="Times New Roman" w:hAnsi="Times New Roman" w:eastAsia="宋体" w:cs="Times New Roman"/>
          <w:lang w:bidi="ar"/>
        </w:rPr>
      </w:pPr>
    </w:p>
    <w:p>
      <w:pPr>
        <w:widowControl/>
        <w:ind w:firstLine="420" w:firstLineChars="200"/>
        <w:rPr>
          <w:rFonts w:ascii="楷体" w:hAnsi="楷体" w:eastAsia="楷体"/>
        </w:rPr>
      </w:pPr>
      <w:r>
        <w:rPr>
          <w:rFonts w:hint="eastAsia" w:ascii="楷体" w:hAnsi="楷体" w:eastAsia="楷体"/>
        </w:rPr>
        <w:t>原1.1改为：</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“.1  2020年10月28日及以后安装上船</w:t>
      </w:r>
      <w:r>
        <w:rPr>
          <w:rStyle w:val="33"/>
          <w:rFonts w:ascii="Times New Roman" w:hAnsi="Times New Roman" w:eastAsia="宋体" w:cs="Times New Roman"/>
          <w:color w:val="FF0000"/>
          <w:lang w:bidi="ar"/>
        </w:rPr>
        <w:footnoteReference w:id="62"/>
      </w:r>
      <w:r>
        <w:rPr>
          <w:rFonts w:hint="eastAsia" w:ascii="Times New Roman" w:hAnsi="Times New Roman" w:eastAsia="宋体" w:cs="Times New Roman"/>
          <w:lang w:bidi="ar"/>
        </w:rPr>
        <w:t>的压载水管理系统应按照BWMS规则</w:t>
      </w:r>
      <w:r>
        <w:rPr>
          <w:rStyle w:val="33"/>
          <w:rFonts w:hint="eastAsia" w:ascii="Times New Roman" w:hAnsi="Times New Roman" w:eastAsia="宋体" w:cs="Times New Roman"/>
          <w:lang w:bidi="ar"/>
        </w:rPr>
        <w:footnoteReference w:id="63"/>
      </w:r>
      <w:r>
        <w:rPr>
          <w:rFonts w:hint="eastAsia" w:ascii="Times New Roman" w:hAnsi="Times New Roman" w:eastAsia="宋体" w:cs="Times New Roman"/>
          <w:lang w:bidi="ar"/>
        </w:rPr>
        <w:t>认可；和”</w:t>
      </w:r>
    </w:p>
    <w:p>
      <w:pPr>
        <w:pStyle w:val="10"/>
        <w:ind w:firstLine="420"/>
        <w:rPr>
          <w:rFonts w:ascii="楷体" w:hAnsi="楷体" w:eastAsia="楷体"/>
          <w:color w:val="0000FF"/>
          <w:lang w:bidi="ar"/>
        </w:rPr>
      </w:pPr>
    </w:p>
    <w:p>
      <w:pPr>
        <w:pStyle w:val="36"/>
        <w:rPr>
          <w:rFonts w:hint="default" w:ascii="Times New Roman" w:hAnsi="Times New Roman"/>
        </w:rPr>
      </w:pPr>
      <w:bookmarkStart w:id="127" w:name="_Toc18441"/>
      <w:bookmarkStart w:id="128" w:name="_Toc94175500"/>
      <w:r>
        <w:rPr>
          <w:rFonts w:ascii="Times New Roman" w:hAnsi="Times New Roman"/>
        </w:rPr>
        <w:t>E部分  压载水管理的检验和发证要求</w:t>
      </w:r>
      <w:bookmarkEnd w:id="127"/>
      <w:bookmarkEnd w:id="128"/>
    </w:p>
    <w:p>
      <w:pPr>
        <w:pStyle w:val="10"/>
        <w:ind w:firstLine="420"/>
        <w:rPr>
          <w:rFonts w:ascii="Times New Roman" w:hAnsi="Times New Roman" w:eastAsia="宋体" w:cs="Times New Roman"/>
          <w:sz w:val="28"/>
          <w:szCs w:val="28"/>
          <w:lang w:bidi="ar"/>
        </w:rPr>
      </w:pPr>
    </w:p>
    <w:p>
      <w:pPr>
        <w:pStyle w:val="10"/>
        <w:jc w:val="center"/>
        <w:outlineLvl w:val="3"/>
        <w:rPr>
          <w:rFonts w:ascii="Times New Roman" w:hAnsi="Times New Roman" w:eastAsia="黑体" w:cs="Times New Roman"/>
          <w:bCs/>
        </w:rPr>
      </w:pPr>
      <w:bookmarkStart w:id="129" w:name="_Toc29103"/>
      <w:r>
        <w:rPr>
          <w:rFonts w:hint="eastAsia" w:ascii="Times New Roman" w:hAnsi="Times New Roman" w:eastAsia="黑体" w:cs="Times New Roman"/>
          <w:bCs/>
        </w:rPr>
        <w:t>第D-3条  压载水管理系统的批准要求</w:t>
      </w:r>
      <w:bookmarkEnd w:id="129"/>
    </w:p>
    <w:p>
      <w:pPr>
        <w:pStyle w:val="10"/>
        <w:ind w:firstLine="420"/>
        <w:rPr>
          <w:rFonts w:ascii="Times New Roman" w:hAnsi="Times New Roman" w:eastAsia="宋体" w:cs="Times New Roman"/>
          <w:lang w:bidi="ar"/>
        </w:rPr>
      </w:pPr>
    </w:p>
    <w:p>
      <w:pPr>
        <w:pStyle w:val="10"/>
        <w:ind w:firstLine="420"/>
        <w:rPr>
          <w:rFonts w:ascii="Times New Roman" w:hAnsi="Times New Roman" w:eastAsia="宋体" w:cs="Times New Roman"/>
          <w:lang w:bidi="ar"/>
        </w:rPr>
      </w:pPr>
      <w:r>
        <w:rPr>
          <w:rFonts w:hint="eastAsia" w:ascii="Times New Roman" w:hAnsi="Times New Roman" w:eastAsia="宋体" w:cs="Times New Roman"/>
          <w:lang w:bidi="ar"/>
        </w:rPr>
        <w:t>1  除本条第2款规定外，根据本公约使用的压载水管理系统必须经主管机关或授权的认可组织按照以下要求认可：</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.1  2020年10月28日及以后安装上船</w:t>
      </w:r>
      <w:r>
        <w:rPr>
          <w:rFonts w:hint="eastAsia" w:ascii="Times New Roman" w:hAnsi="Times New Roman" w:eastAsia="宋体" w:cs="Times New Roman"/>
          <w:color w:val="FF0000"/>
          <w:vertAlign w:val="superscript"/>
          <w:lang w:bidi="ar"/>
        </w:rPr>
        <w:t>①</w:t>
      </w:r>
      <w:r>
        <w:rPr>
          <w:rFonts w:hint="eastAsia" w:ascii="Times New Roman" w:hAnsi="Times New Roman" w:eastAsia="宋体" w:cs="Times New Roman"/>
          <w:lang w:bidi="ar"/>
        </w:rPr>
        <w:t>的压载水管理系统应按照BWMS规则</w:t>
      </w:r>
      <w:r>
        <w:rPr>
          <w:rFonts w:hint="eastAsia" w:ascii="Times New Roman" w:hAnsi="Times New Roman" w:eastAsia="宋体" w:cs="Times New Roman"/>
          <w:color w:val="FF0000"/>
          <w:vertAlign w:val="superscript"/>
          <w:lang w:bidi="ar"/>
        </w:rPr>
        <w:t>①</w:t>
      </w:r>
      <w:r>
        <w:rPr>
          <w:rFonts w:hint="eastAsia" w:ascii="Times New Roman" w:hAnsi="Times New Roman" w:eastAsia="宋体" w:cs="Times New Roman"/>
          <w:lang w:bidi="ar"/>
        </w:rPr>
        <w:t>认可；和</w:t>
      </w:r>
    </w:p>
    <w:p>
      <w:pPr>
        <w:pStyle w:val="10"/>
        <w:ind w:left="1108" w:leftChars="330" w:hanging="415" w:hangingChars="198"/>
        <w:rPr>
          <w:rFonts w:ascii="Times New Roman" w:hAnsi="Times New Roman" w:eastAsia="宋体" w:cs="Times New Roman"/>
          <w:lang w:bidi="ar"/>
        </w:rPr>
      </w:pPr>
      <w:r>
        <w:rPr>
          <w:rFonts w:ascii="Times New Roman" w:hAnsi="Times New Roman" w:eastAsia="宋体" w:cs="Times New Roman"/>
          <w:lang w:bidi="ar"/>
        </w:rPr>
        <w:t>.2  2020</w:t>
      </w:r>
      <w:r>
        <w:rPr>
          <w:rFonts w:hint="eastAsia" w:ascii="Times New Roman" w:hAnsi="Times New Roman" w:eastAsia="宋体" w:cs="Times New Roman"/>
          <w:lang w:bidi="ar"/>
        </w:rPr>
        <w:t>年</w:t>
      </w:r>
      <w:r>
        <w:rPr>
          <w:rFonts w:ascii="Times New Roman" w:hAnsi="Times New Roman" w:eastAsia="宋体" w:cs="Times New Roman"/>
          <w:lang w:bidi="ar"/>
        </w:rPr>
        <w:t>10</w:t>
      </w:r>
      <w:r>
        <w:rPr>
          <w:rFonts w:hint="eastAsia" w:ascii="Times New Roman" w:hAnsi="Times New Roman" w:eastAsia="宋体" w:cs="Times New Roman"/>
          <w:lang w:bidi="ar"/>
        </w:rPr>
        <w:t>月</w:t>
      </w:r>
      <w:r>
        <w:rPr>
          <w:rFonts w:ascii="Times New Roman" w:hAnsi="Times New Roman" w:eastAsia="宋体" w:cs="Times New Roman"/>
          <w:lang w:bidi="ar"/>
        </w:rPr>
        <w:t>28</w:t>
      </w:r>
      <w:r>
        <w:rPr>
          <w:rFonts w:hint="eastAsia" w:ascii="Times New Roman" w:hAnsi="Times New Roman" w:eastAsia="宋体" w:cs="Times New Roman"/>
          <w:lang w:bidi="ar"/>
        </w:rPr>
        <w:t>日之前安装上船</w:t>
      </w:r>
      <w:r>
        <w:rPr>
          <w:rFonts w:hint="eastAsia" w:ascii="Times New Roman" w:hAnsi="Times New Roman" w:eastAsia="宋体" w:cs="Times New Roman"/>
          <w:color w:val="FF0000"/>
          <w:vertAlign w:val="superscript"/>
          <w:lang w:bidi="ar"/>
        </w:rPr>
        <w:t>①</w:t>
      </w:r>
      <w:r>
        <w:rPr>
          <w:rFonts w:hint="eastAsia" w:ascii="Times New Roman" w:hAnsi="Times New Roman" w:eastAsia="宋体" w:cs="Times New Roman"/>
          <w:lang w:bidi="ar"/>
        </w:rPr>
        <w:t>的压载水管理系统应按照国际海事组织制定的</w:t>
      </w:r>
      <w:r>
        <w:rPr>
          <w:rFonts w:ascii="Times New Roman" w:hAnsi="Times New Roman" w:eastAsia="宋体" w:cs="Times New Roman"/>
          <w:lang w:bidi="ar"/>
        </w:rPr>
        <w:t>G8</w:t>
      </w:r>
      <w:r>
        <w:rPr>
          <w:rFonts w:hint="eastAsia" w:ascii="Times New Roman" w:hAnsi="Times New Roman" w:eastAsia="宋体" w:cs="Times New Roman"/>
          <w:lang w:bidi="ar"/>
        </w:rPr>
        <w:t>导则</w:t>
      </w:r>
      <w:r>
        <w:rPr>
          <w:rStyle w:val="33"/>
          <w:rFonts w:ascii="Times New Roman" w:hAnsi="Times New Roman" w:eastAsia="宋体" w:cs="Times New Roman"/>
          <w:lang w:bidi="ar"/>
        </w:rPr>
        <w:footnoteReference w:id="64"/>
      </w:r>
      <w:r>
        <w:rPr>
          <w:rFonts w:hint="eastAsia" w:ascii="Times New Roman" w:hAnsi="Times New Roman" w:eastAsia="宋体" w:cs="Times New Roman"/>
          <w:lang w:bidi="ar"/>
        </w:rPr>
        <w:t>或者</w:t>
      </w:r>
      <w:r>
        <w:rPr>
          <w:rFonts w:ascii="Times New Roman" w:hAnsi="Times New Roman" w:eastAsia="宋体" w:cs="Times New Roman"/>
          <w:lang w:bidi="ar"/>
        </w:rPr>
        <w:t>BWMS</w:t>
      </w:r>
      <w:r>
        <w:rPr>
          <w:rFonts w:hint="eastAsia" w:ascii="Times New Roman" w:hAnsi="Times New Roman" w:eastAsia="宋体" w:cs="Times New Roman"/>
          <w:lang w:bidi="ar"/>
        </w:rPr>
        <w:t>规则</w:t>
      </w:r>
      <w:r>
        <w:rPr>
          <w:rFonts w:hint="eastAsia" w:ascii="Times New Roman" w:hAnsi="Times New Roman" w:eastAsia="宋体" w:cs="Times New Roman"/>
          <w:color w:val="FF0000"/>
          <w:vertAlign w:val="superscript"/>
          <w:lang w:bidi="ar"/>
        </w:rPr>
        <w:t>①</w:t>
      </w:r>
      <w:r>
        <w:rPr>
          <w:rFonts w:hint="eastAsia" w:ascii="Times New Roman" w:hAnsi="Times New Roman" w:eastAsia="宋体" w:cs="Times New Roman"/>
          <w:lang w:bidi="ar"/>
        </w:rPr>
        <w:t>认可。</w:t>
      </w:r>
    </w:p>
    <w:p>
      <w:pPr>
        <w:pStyle w:val="10"/>
        <w:ind w:firstLine="420"/>
        <w:rPr>
          <w:rFonts w:ascii="Times New Roman" w:hAnsi="Times New Roman" w:eastAsia="宋体" w:cs="Times New Roman"/>
          <w:lang w:bidi="ar"/>
        </w:rPr>
      </w:pPr>
      <w:r>
        <w:rPr>
          <w:rFonts w:hint="eastAsia" w:ascii="Times New Roman" w:hAnsi="Times New Roman" w:eastAsia="宋体" w:cs="Times New Roman"/>
          <w:lang w:bidi="ar"/>
        </w:rPr>
        <w:t>2  为满足本章要求使用活性物质或含有一种或以上活性物质的制剂的压载水管理系统，应根据国际海事组织制定的程序</w:t>
      </w:r>
      <w:r>
        <w:rPr>
          <w:rStyle w:val="33"/>
          <w:rFonts w:ascii="Times New Roman" w:hAnsi="Times New Roman" w:eastAsia="宋体" w:cs="Times New Roman"/>
          <w:lang w:bidi="ar"/>
        </w:rPr>
        <w:footnoteReference w:id="65"/>
      </w:r>
      <w:r>
        <w:rPr>
          <w:rFonts w:hint="eastAsia" w:ascii="Times New Roman" w:hAnsi="Times New Roman" w:eastAsia="宋体" w:cs="Times New Roman"/>
          <w:lang w:bidi="ar"/>
        </w:rPr>
        <w:t>经国际海事组织批准。该程序应说明如何批准和撤消批准活性物质及其实施方式。在撤消批准时，应在撤消日后的1年内禁止使用相关的活性物质。</w:t>
      </w:r>
    </w:p>
    <w:p>
      <w:pPr>
        <w:pStyle w:val="10"/>
        <w:ind w:firstLine="420"/>
        <w:rPr>
          <w:rFonts w:ascii="Times New Roman" w:hAnsi="Times New Roman" w:eastAsia="宋体" w:cs="Times New Roman"/>
          <w:lang w:bidi="ar"/>
        </w:rPr>
      </w:pPr>
      <w:r>
        <w:rPr>
          <w:rFonts w:hint="eastAsia" w:ascii="Times New Roman" w:hAnsi="Times New Roman" w:eastAsia="宋体" w:cs="Times New Roman"/>
          <w:lang w:bidi="ar"/>
        </w:rPr>
        <w:t>3  根据本章使用的压载水管理系统必须对船舶及其设备和船员是安全的。</w:t>
      </w:r>
    </w:p>
    <w:p>
      <w:pPr>
        <w:pStyle w:val="10"/>
        <w:ind w:firstLine="420"/>
        <w:rPr>
          <w:rFonts w:ascii="Times New Roman" w:hAnsi="Times New Roman" w:eastAsia="宋体" w:cs="Times New Roman"/>
          <w:lang w:bidi="ar"/>
        </w:rPr>
      </w:pPr>
    </w:p>
    <w:p>
      <w:pPr>
        <w:pStyle w:val="10"/>
        <w:jc w:val="center"/>
        <w:outlineLvl w:val="3"/>
        <w:rPr>
          <w:rFonts w:ascii="Times New Roman" w:hAnsi="Times New Roman" w:eastAsia="黑体" w:cs="Times New Roman"/>
          <w:bCs/>
        </w:rPr>
      </w:pPr>
      <w:bookmarkStart w:id="130" w:name="_Toc7838"/>
      <w:r>
        <w:rPr>
          <w:rFonts w:hint="eastAsia" w:ascii="Times New Roman" w:hAnsi="Times New Roman" w:eastAsia="黑体" w:cs="Times New Roman"/>
          <w:bCs/>
        </w:rPr>
        <w:t>第E-1条  检    验</w:t>
      </w:r>
      <w:bookmarkEnd w:id="130"/>
    </w:p>
    <w:p>
      <w:pPr>
        <w:pStyle w:val="10"/>
        <w:ind w:firstLine="420"/>
        <w:rPr>
          <w:rFonts w:ascii="Times New Roman" w:hAnsi="Times New Roman" w:eastAsia="宋体" w:cs="Times New Roman"/>
          <w:lang w:bidi="ar"/>
        </w:rPr>
      </w:pPr>
    </w:p>
    <w:p>
      <w:pPr>
        <w:widowControl/>
        <w:ind w:firstLine="420" w:firstLineChars="200"/>
        <w:rPr>
          <w:rFonts w:ascii="楷体" w:hAnsi="楷体" w:eastAsia="楷体"/>
        </w:rPr>
      </w:pPr>
      <w:r>
        <w:rPr>
          <w:rFonts w:hint="eastAsia" w:ascii="楷体" w:hAnsi="楷体" w:eastAsia="楷体"/>
        </w:rPr>
        <w:t>原1.1改为：</w:t>
      </w:r>
    </w:p>
    <w:p>
      <w:pPr>
        <w:pStyle w:val="10"/>
        <w:ind w:left="1108" w:leftChars="330" w:hanging="415" w:hangingChars="198"/>
        <w:rPr>
          <w:rFonts w:ascii="Times New Roman" w:hAnsi="Times New Roman" w:cs="Times New Roman"/>
          <w:color w:val="FF0000"/>
          <w:szCs w:val="22"/>
          <w:u w:val="single"/>
        </w:rPr>
      </w:pPr>
      <w:r>
        <w:rPr>
          <w:rFonts w:hint="eastAsia" w:ascii="Times New Roman" w:hAnsi="Times New Roman" w:eastAsia="宋体" w:cs="Times New Roman"/>
          <w:lang w:bidi="ar"/>
        </w:rPr>
        <w:t>“</w:t>
      </w:r>
      <w:r>
        <w:rPr>
          <w:rFonts w:ascii="Times New Roman" w:hAnsi="Times New Roman" w:eastAsia="宋体" w:cs="Times New Roman"/>
          <w:lang w:bidi="ar"/>
        </w:rPr>
        <w:t xml:space="preserve">.1  </w:t>
      </w:r>
      <w:r>
        <w:rPr>
          <w:rFonts w:hint="eastAsia" w:ascii="Times New Roman" w:hAnsi="Times New Roman" w:eastAsia="宋体" w:cs="Times New Roman"/>
          <w:lang w:bidi="ar"/>
        </w:rPr>
        <w:t>初次检验，在船舶投入营运之前或在首次签发本章第</w:t>
      </w:r>
      <w:r>
        <w:rPr>
          <w:rFonts w:ascii="Times New Roman" w:hAnsi="Times New Roman" w:eastAsia="宋体" w:cs="Times New Roman"/>
          <w:lang w:bidi="ar"/>
        </w:rPr>
        <w:t>E-2</w:t>
      </w:r>
      <w:r>
        <w:rPr>
          <w:rFonts w:hint="eastAsia" w:ascii="Times New Roman" w:hAnsi="Times New Roman" w:eastAsia="宋体" w:cs="Times New Roman"/>
          <w:lang w:bidi="ar"/>
        </w:rPr>
        <w:t>条或第</w:t>
      </w:r>
      <w:r>
        <w:rPr>
          <w:rFonts w:ascii="Times New Roman" w:hAnsi="Times New Roman" w:eastAsia="宋体" w:cs="Times New Roman"/>
          <w:lang w:bidi="ar"/>
        </w:rPr>
        <w:t>E-3</w:t>
      </w:r>
      <w:r>
        <w:rPr>
          <w:rFonts w:hint="eastAsia" w:ascii="Times New Roman" w:hAnsi="Times New Roman" w:eastAsia="宋体" w:cs="Times New Roman"/>
          <w:lang w:bidi="ar"/>
        </w:rPr>
        <w:t>条所要求的证书之前进行。此种检验应验证第</w:t>
      </w:r>
      <w:r>
        <w:rPr>
          <w:rFonts w:ascii="Times New Roman" w:hAnsi="Times New Roman" w:eastAsia="宋体" w:cs="Times New Roman"/>
          <w:lang w:bidi="ar"/>
        </w:rPr>
        <w:t>B-1</w:t>
      </w:r>
      <w:r>
        <w:rPr>
          <w:rFonts w:hint="eastAsia" w:ascii="Times New Roman" w:hAnsi="Times New Roman" w:eastAsia="宋体" w:cs="Times New Roman"/>
          <w:lang w:bidi="ar"/>
        </w:rPr>
        <w:t>条要求的压载水管理计划和任何相关的结构、设备、系统、附件、布置和材料或程序完全符合本章适用的要求。</w:t>
      </w:r>
      <w:bookmarkStart w:id="131" w:name="OLE_LINK1"/>
      <w:bookmarkStart w:id="132" w:name="OLE_LINK2"/>
      <w:r>
        <w:rPr>
          <w:rFonts w:hint="eastAsia" w:ascii="Times New Roman" w:hAnsi="Times New Roman" w:cs="Times New Roman"/>
          <w:color w:val="FF0000"/>
          <w:szCs w:val="22"/>
          <w:u w:val="single"/>
        </w:rPr>
        <w:t>该检验应确认已考虑到本组织制定的导则</w:t>
      </w:r>
      <w:r>
        <w:rPr>
          <w:rStyle w:val="33"/>
          <w:rFonts w:hint="eastAsia" w:ascii="Times New Roman" w:hAnsi="Times New Roman" w:cs="Times New Roman"/>
          <w:color w:val="FF0000"/>
          <w:szCs w:val="22"/>
          <w:u w:val="single"/>
        </w:rPr>
        <w:footnoteReference w:id="66"/>
      </w:r>
      <w:r>
        <w:rPr>
          <w:rFonts w:hint="eastAsia" w:ascii="Times New Roman" w:hAnsi="Times New Roman" w:cs="Times New Roman"/>
          <w:color w:val="FF0000"/>
          <w:szCs w:val="22"/>
          <w:u w:val="single"/>
        </w:rPr>
        <w:t>开展了调试试验，通过验证压载水管理系统的的机械、物理、化学和生物过程均正常运行来证明压载水管理系统安装到位。</w:t>
      </w:r>
      <w:bookmarkEnd w:id="131"/>
      <w:bookmarkEnd w:id="132"/>
      <w:r>
        <w:rPr>
          <w:rFonts w:hint="eastAsia" w:ascii="Times New Roman" w:hAnsi="Times New Roman" w:eastAsia="宋体" w:cs="Times New Roman"/>
          <w:lang w:bidi="ar"/>
        </w:rPr>
        <w:t>”</w:t>
      </w:r>
    </w:p>
    <w:p>
      <w:pPr>
        <w:pStyle w:val="10"/>
        <w:ind w:firstLine="420"/>
        <w:rPr>
          <w:rFonts w:ascii="Times New Roman" w:hAnsi="Times New Roman" w:eastAsia="宋体" w:cs="Times New Roman"/>
          <w:lang w:bidi="ar"/>
        </w:rPr>
      </w:pPr>
    </w:p>
    <w:p>
      <w:pPr>
        <w:widowControl/>
        <w:ind w:firstLine="420" w:firstLineChars="200"/>
        <w:rPr>
          <w:rFonts w:ascii="楷体" w:hAnsi="楷体" w:eastAsia="楷体"/>
        </w:rPr>
      </w:pPr>
      <w:r>
        <w:rPr>
          <w:rFonts w:hint="eastAsia" w:ascii="楷体" w:hAnsi="楷体" w:eastAsia="楷体"/>
        </w:rPr>
        <w:t>原1.5改为：</w:t>
      </w:r>
    </w:p>
    <w:p>
      <w:pPr>
        <w:pStyle w:val="10"/>
        <w:ind w:left="1108" w:leftChars="330" w:hanging="415" w:hangingChars="198"/>
        <w:rPr>
          <w:rFonts w:ascii="Times New Roman" w:hAnsi="Times New Roman" w:eastAsia="宋体" w:cs="Times New Roman"/>
          <w:lang w:bidi="ar"/>
        </w:rPr>
      </w:pPr>
      <w:r>
        <w:rPr>
          <w:rFonts w:hint="eastAsia" w:ascii="Times New Roman" w:hAnsi="Times New Roman" w:eastAsia="宋体" w:cs="Times New Roman"/>
          <w:lang w:bidi="ar"/>
        </w:rPr>
        <w:t>“</w:t>
      </w:r>
      <w:r>
        <w:rPr>
          <w:rFonts w:ascii="Times New Roman" w:hAnsi="Times New Roman" w:eastAsia="宋体" w:cs="Times New Roman"/>
          <w:lang w:bidi="ar"/>
        </w:rPr>
        <w:t xml:space="preserve">.5  </w:t>
      </w:r>
      <w:r>
        <w:rPr>
          <w:rFonts w:hint="eastAsia" w:ascii="Times New Roman" w:hAnsi="Times New Roman" w:eastAsia="宋体" w:cs="Times New Roman"/>
          <w:lang w:bidi="ar"/>
        </w:rPr>
        <w:t>附加检验，</w:t>
      </w:r>
      <w:r>
        <w:rPr>
          <w:rFonts w:hint="eastAsia" w:ascii="Times New Roman" w:hAnsi="Times New Roman" w:eastAsia="宋体" w:cs="Times New Roman"/>
          <w:strike/>
          <w:color w:val="FF0000"/>
          <w:lang w:bidi="ar"/>
        </w:rPr>
        <w:t>根据情况对进行过结构、设备、系统、附件、布置和材料方面的改变、替换或重大维修以完全符合本章要求的船舶进行总体或局部的检验。此种检验应确保任何上述的改变、替换或重大维修都行之有效，从而使船舶符合本章的要求。</w:t>
      </w:r>
      <w:r>
        <w:rPr>
          <w:rFonts w:hint="eastAsia" w:ascii="Times New Roman" w:hAnsi="Times New Roman" w:eastAsia="宋体" w:cs="Times New Roman"/>
          <w:color w:val="FF0000"/>
          <w:u w:val="single"/>
          <w:lang w:bidi="ar"/>
        </w:rPr>
        <w:t>视情可为全面或部分检验，须在实现完全符合本公约所必需的结构、设备、系统、配件、装置和材料的改变、更换或重大修理后进行。该检验须确保任何此种改变、更换或重大修理已有效做出，从而使船舶符合本公约的要求。对压载水管理系统安装而进行的附加检验，该检验须确认，为验证该系统的安装，已考虑到本组织制定的导则</w:t>
      </w:r>
      <w:r>
        <w:rPr>
          <w:rFonts w:hint="eastAsia" w:ascii="Times New Roman" w:hAnsi="Times New Roman" w:eastAsia="宋体" w:cs="Times New Roman"/>
          <w:color w:val="FF0000"/>
          <w:u w:val="single"/>
          <w:vertAlign w:val="superscript"/>
          <w:lang w:bidi="ar"/>
        </w:rPr>
        <w:t>①</w:t>
      </w:r>
      <w:r>
        <w:rPr>
          <w:rFonts w:hint="eastAsia" w:ascii="Times New Roman" w:hAnsi="Times New Roman" w:eastAsia="宋体" w:cs="Times New Roman"/>
          <w:color w:val="FF0000"/>
          <w:u w:val="single"/>
          <w:lang w:bidi="ar"/>
        </w:rPr>
        <w:t>进行了调试试验，以证实其机械、物理、化学和生物过程正常工作。</w:t>
      </w:r>
      <w:r>
        <w:rPr>
          <w:rFonts w:hint="eastAsia" w:ascii="Times New Roman" w:hAnsi="Times New Roman" w:eastAsia="宋体" w:cs="Times New Roman"/>
          <w:lang w:bidi="ar"/>
        </w:rPr>
        <w:t>”</w:t>
      </w:r>
    </w:p>
    <w:p>
      <w:pPr>
        <w:widowControl/>
        <w:jc w:val="left"/>
        <w:rPr>
          <w:rFonts w:ascii="Times New Roman" w:hAnsi="Times New Roman" w:eastAsia="宋体" w:cs="Times New Roman"/>
          <w:lang w:bidi="ar"/>
        </w:rPr>
      </w:pPr>
    </w:p>
    <w:sectPr>
      <w:footerReference r:id="rId8" w:type="default"/>
      <w:footerReference r:id="rId9" w:type="even"/>
      <w:footnotePr>
        <w:numFmt w:val="decimalEnclosedCircleChinese"/>
        <w:numRestart w:val="eachPage"/>
      </w:footnotePr>
      <w:pgSz w:w="12240" w:h="15840"/>
      <w:pgMar w:top="1440" w:right="1800" w:bottom="1440" w:left="1800" w:header="720" w:footer="720"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BEBIGD+TimesNewRoman">
    <w:altName w:val="宋体"/>
    <w:panose1 w:val="00000000000000000000"/>
    <w:charset w:val="86"/>
    <w:family w:val="roma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TimesNewRoman">
    <w:altName w:val="Times New Roman"/>
    <w:panose1 w:val="00000000000000000000"/>
    <w:charset w:val="00"/>
    <w:family w:val="roman"/>
    <w:pitch w:val="default"/>
    <w:sig w:usb0="00000000" w:usb1="00000000" w:usb2="00000000" w:usb3="00000000" w:csb0="00000001" w:csb1="00000000"/>
  </w:font>
  <w:font w:name="华文宋体">
    <w:panose1 w:val="02010600040101010101"/>
    <w:charset w:val="86"/>
    <w:family w:val="auto"/>
    <w:pitch w:val="default"/>
    <w:sig w:usb0="00000287" w:usb1="080F0000" w:usb2="00000000" w:usb3="00000000" w:csb0="0004009F" w:csb1="DFD70000"/>
  </w:font>
  <w:font w:name="TimesNewRomanPSMT">
    <w:altName w:val="Times New Roman"/>
    <w:panose1 w:val="00000000000000000000"/>
    <w:charset w:val="00"/>
    <w:family w:val="roman"/>
    <w:pitch w:val="default"/>
    <w:sig w:usb0="00000000" w:usb1="00000000" w:usb2="00000010" w:usb3="00000000" w:csb0="00040001" w:csb1="00000000"/>
  </w:font>
  <w:font w:name="TimesNewRomanPS-BoldMT">
    <w:altName w:val="Times New Roman"/>
    <w:panose1 w:val="00000000000000000000"/>
    <w:charset w:val="4D"/>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90012974"/>
                          </w:sdtPr>
                          <w:sdtContent>
                            <w:p>
                              <w:pPr>
                                <w:pStyle w:val="14"/>
                                <w:jc w:val="right"/>
                              </w:pPr>
                              <w:r>
                                <w:fldChar w:fldCharType="begin"/>
                              </w:r>
                              <w:r>
                                <w:instrText xml:space="preserve">PAGE   \* MERGEFORMAT</w:instrText>
                              </w:r>
                              <w:r>
                                <w:fldChar w:fldCharType="separate"/>
                              </w:r>
                              <w:r>
                                <w:rPr>
                                  <w:lang w:val="zh-CN"/>
                                </w:rPr>
                                <w:t>39</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90012974"/>
                    </w:sdtPr>
                    <w:sdtContent>
                      <w:p>
                        <w:pPr>
                          <w:pStyle w:val="14"/>
                          <w:jc w:val="right"/>
                        </w:pPr>
                        <w:r>
                          <w:fldChar w:fldCharType="begin"/>
                        </w:r>
                        <w:r>
                          <w:instrText xml:space="preserve">PAGE   \* MERGEFORMAT</w:instrText>
                        </w:r>
                        <w:r>
                          <w:fldChar w:fldCharType="separate"/>
                        </w:r>
                        <w:r>
                          <w:rPr>
                            <w:lang w:val="zh-CN"/>
                          </w:rPr>
                          <w:t>39</w:t>
                        </w:r>
                        <w:r>
                          <w:fldChar w:fldCharType="end"/>
                        </w:r>
                      </w:p>
                    </w:sdtContent>
                  </w:sdt>
                  <w:p/>
                </w:txbxContent>
              </v:textbox>
            </v:shape>
          </w:pict>
        </mc:Fallback>
      </mc:AlternateContent>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66512412"/>
                          </w:sdtPr>
                          <w:sdtContent>
                            <w:p>
                              <w:pPr>
                                <w:pStyle w:val="14"/>
                              </w:pPr>
                              <w:r>
                                <w:fldChar w:fldCharType="begin"/>
                              </w:r>
                              <w:r>
                                <w:instrText xml:space="preserve">PAGE   \* MERGEFORMAT</w:instrText>
                              </w:r>
                              <w:r>
                                <w:fldChar w:fldCharType="separate"/>
                              </w:r>
                              <w:r>
                                <w:rPr>
                                  <w:lang w:val="zh-CN"/>
                                </w:rPr>
                                <w:t>40</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866512412"/>
                    </w:sdtPr>
                    <w:sdtContent>
                      <w:p>
                        <w:pPr>
                          <w:pStyle w:val="14"/>
                        </w:pPr>
                        <w:r>
                          <w:fldChar w:fldCharType="begin"/>
                        </w:r>
                        <w:r>
                          <w:instrText xml:space="preserve">PAGE   \* MERGEFORMAT</w:instrText>
                        </w:r>
                        <w:r>
                          <w:fldChar w:fldCharType="separate"/>
                        </w:r>
                        <w:r>
                          <w:rPr>
                            <w:lang w:val="zh-CN"/>
                          </w:rPr>
                          <w:t>40</w:t>
                        </w:r>
                        <w:r>
                          <w:fldChar w:fldCharType="end"/>
                        </w:r>
                      </w:p>
                    </w:sdtContent>
                  </w:sdt>
                  <w:p/>
                </w:txbxContent>
              </v:textbox>
            </v:shape>
          </w:pict>
        </mc:Fallback>
      </mc:AlternateContent>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90012974"/>
                          </w:sdtPr>
                          <w:sdtContent>
                            <w:p>
                              <w:pPr>
                                <w:pStyle w:val="14"/>
                                <w:jc w:val="right"/>
                              </w:pPr>
                              <w:r>
                                <w:fldChar w:fldCharType="begin"/>
                              </w:r>
                              <w:r>
                                <w:instrText xml:space="preserve">PAGE   \* MERGEFORMAT</w:instrText>
                              </w:r>
                              <w:r>
                                <w:fldChar w:fldCharType="separate"/>
                              </w:r>
                              <w:r>
                                <w:rPr>
                                  <w:lang w:val="zh-CN"/>
                                </w:rPr>
                                <w:t>39</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490012974"/>
                    </w:sdtPr>
                    <w:sdtContent>
                      <w:p>
                        <w:pPr>
                          <w:pStyle w:val="14"/>
                          <w:jc w:val="right"/>
                        </w:pPr>
                        <w:r>
                          <w:fldChar w:fldCharType="begin"/>
                        </w:r>
                        <w:r>
                          <w:instrText xml:space="preserve">PAGE   \* MERGEFORMAT</w:instrText>
                        </w:r>
                        <w:r>
                          <w:fldChar w:fldCharType="separate"/>
                        </w:r>
                        <w:r>
                          <w:rPr>
                            <w:lang w:val="zh-CN"/>
                          </w:rPr>
                          <w:t>39</w:t>
                        </w:r>
                        <w:r>
                          <w:fldChar w:fldCharType="end"/>
                        </w:r>
                      </w:p>
                    </w:sdtContent>
                  </w:sdt>
                  <w:p/>
                </w:txbxContent>
              </v:textbox>
            </v:shape>
          </w:pict>
        </mc:Fallback>
      </mc:AlternateContent>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66512412"/>
                          </w:sdtPr>
                          <w:sdtContent>
                            <w:p>
                              <w:pPr>
                                <w:pStyle w:val="14"/>
                              </w:pPr>
                              <w:r>
                                <w:fldChar w:fldCharType="begin"/>
                              </w:r>
                              <w:r>
                                <w:instrText xml:space="preserve">PAGE   \* MERGEFORMAT</w:instrText>
                              </w:r>
                              <w:r>
                                <w:fldChar w:fldCharType="separate"/>
                              </w:r>
                              <w:r>
                                <w:rPr>
                                  <w:lang w:val="zh-CN"/>
                                </w:rPr>
                                <w:t>40</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866512412"/>
                    </w:sdtPr>
                    <w:sdtContent>
                      <w:p>
                        <w:pPr>
                          <w:pStyle w:val="14"/>
                        </w:pPr>
                        <w:r>
                          <w:fldChar w:fldCharType="begin"/>
                        </w:r>
                        <w:r>
                          <w:instrText xml:space="preserve">PAGE   \* MERGEFORMAT</w:instrText>
                        </w:r>
                        <w:r>
                          <w:fldChar w:fldCharType="separate"/>
                        </w:r>
                        <w:r>
                          <w:rPr>
                            <w:lang w:val="zh-CN"/>
                          </w:rPr>
                          <w:t>40</w:t>
                        </w:r>
                        <w:r>
                          <w:fldChar w:fldCharType="end"/>
                        </w:r>
                      </w:p>
                    </w:sdtContent>
                  </w:sdt>
                  <w:p/>
                </w:txbxContent>
              </v:textbox>
            </v:shape>
          </w:pict>
        </mc:Fallback>
      </mc:AlternateContent>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90012974"/>
                          </w:sdtPr>
                          <w:sdtContent>
                            <w:p>
                              <w:pPr>
                                <w:pStyle w:val="14"/>
                                <w:jc w:val="right"/>
                              </w:pPr>
                              <w:r>
                                <w:fldChar w:fldCharType="begin"/>
                              </w:r>
                              <w:r>
                                <w:instrText xml:space="preserve">PAGE   \* MERGEFORMAT</w:instrText>
                              </w:r>
                              <w:r>
                                <w:fldChar w:fldCharType="separate"/>
                              </w:r>
                              <w:r>
                                <w:rPr>
                                  <w:lang w:val="zh-CN"/>
                                </w:rPr>
                                <w:t>39</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90012974"/>
                    </w:sdtPr>
                    <w:sdtContent>
                      <w:p>
                        <w:pPr>
                          <w:pStyle w:val="14"/>
                          <w:jc w:val="right"/>
                        </w:pPr>
                        <w:r>
                          <w:fldChar w:fldCharType="begin"/>
                        </w:r>
                        <w:r>
                          <w:instrText xml:space="preserve">PAGE   \* MERGEFORMAT</w:instrText>
                        </w:r>
                        <w:r>
                          <w:fldChar w:fldCharType="separate"/>
                        </w:r>
                        <w:r>
                          <w:rPr>
                            <w:lang w:val="zh-CN"/>
                          </w:rPr>
                          <w:t>39</w:t>
                        </w:r>
                        <w:r>
                          <w:fldChar w:fldCharType="end"/>
                        </w:r>
                      </w:p>
                    </w:sdtContent>
                  </w:sdt>
                  <w:p/>
                </w:txbxContent>
              </v:textbox>
            </v:shape>
          </w:pict>
        </mc:Fallback>
      </mc:AlternateContent>
    </w:r>
  </w:p>
  <w:p>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66512412"/>
                          </w:sdtPr>
                          <w:sdtContent>
                            <w:p>
                              <w:pPr>
                                <w:pStyle w:val="14"/>
                              </w:pPr>
                              <w:r>
                                <w:fldChar w:fldCharType="begin"/>
                              </w:r>
                              <w:r>
                                <w:instrText xml:space="preserve">PAGE   \* MERGEFORMAT</w:instrText>
                              </w:r>
                              <w:r>
                                <w:fldChar w:fldCharType="separate"/>
                              </w:r>
                              <w:r>
                                <w:rPr>
                                  <w:lang w:val="zh-CN"/>
                                </w:rPr>
                                <w:t>40</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866512412"/>
                    </w:sdtPr>
                    <w:sdtContent>
                      <w:p>
                        <w:pPr>
                          <w:pStyle w:val="14"/>
                        </w:pPr>
                        <w:r>
                          <w:fldChar w:fldCharType="begin"/>
                        </w:r>
                        <w:r>
                          <w:instrText xml:space="preserve">PAGE   \* MERGEFORMAT</w:instrText>
                        </w:r>
                        <w:r>
                          <w:fldChar w:fldCharType="separate"/>
                        </w:r>
                        <w:r>
                          <w:rPr>
                            <w:lang w:val="zh-CN"/>
                          </w:rPr>
                          <w:t>40</w:t>
                        </w:r>
                        <w:r>
                          <w:fldChar w:fldCharType="end"/>
                        </w:r>
                      </w:p>
                    </w:sdtContent>
                  </w:sdt>
                  <w:p/>
                </w:txbxContent>
              </v:textbox>
            </v:shape>
          </w:pict>
        </mc:Fallback>
      </mc:AlternateContent>
    </w:r>
  </w:p>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34">
    <w:p>
      <w:r>
        <w:separator/>
      </w:r>
    </w:p>
  </w:footnote>
  <w:footnote w:type="continuationSeparator" w:id="135">
    <w:p>
      <w:r>
        <w:continuationSeparator/>
      </w:r>
    </w:p>
  </w:footnote>
  <w:footnote w:id="0">
    <w:p>
      <w:pPr>
        <w:pStyle w:val="19"/>
        <w:rPr>
          <w:rFonts w:ascii="Times New Roman" w:hAnsi="Times New Roman"/>
          <w:u w:val="single"/>
        </w:rPr>
      </w:pPr>
      <w:r>
        <w:rPr>
          <w:rStyle w:val="33"/>
          <w:color w:val="FF0000"/>
          <w:u w:val="single"/>
        </w:rPr>
        <w:footnoteRef/>
      </w:r>
      <w:r>
        <w:rPr>
          <w:color w:val="FF0000"/>
          <w:u w:val="single"/>
        </w:rPr>
        <w:t xml:space="preserve"> </w:t>
      </w:r>
      <w:r>
        <w:rPr>
          <w:rFonts w:ascii="Times New Roman" w:hAnsi="Times New Roman"/>
          <w:color w:val="FF0000"/>
          <w:u w:val="single"/>
        </w:rPr>
        <w:t>参见《免除无人非自航（UNSP）驳船在MARPOL公约下检验和发证要求指南》（MEPC.1/Circ.892）。</w:t>
      </w:r>
    </w:p>
  </w:footnote>
  <w:footnote w:id="1">
    <w:p>
      <w:pPr>
        <w:pStyle w:val="19"/>
        <w:rPr>
          <w:rFonts w:ascii="Times New Roman" w:hAnsi="Times New Roman"/>
          <w:color w:val="FF0000"/>
          <w:u w:val="single"/>
        </w:rPr>
      </w:pPr>
      <w:r>
        <w:rPr>
          <w:rStyle w:val="33"/>
          <w:rFonts w:ascii="Times New Roman" w:hAnsi="Times New Roman"/>
          <w:color w:val="FF0000"/>
          <w:u w:val="single"/>
        </w:rPr>
        <w:footnoteRef/>
      </w:r>
      <w:r>
        <w:rPr>
          <w:rFonts w:ascii="Times New Roman" w:hAnsi="Times New Roman"/>
          <w:color w:val="FF0000"/>
          <w:u w:val="single"/>
        </w:rPr>
        <w:t xml:space="preserve"> 参见MEPC.312(74)决议通过的《MARPOL电子记录簿使用指南》。</w:t>
      </w:r>
    </w:p>
  </w:footnote>
  <w:footnote w:id="2">
    <w:p>
      <w:pPr>
        <w:pStyle w:val="19"/>
        <w:rPr>
          <w:u w:val="single"/>
        </w:rPr>
      </w:pPr>
      <w:r>
        <w:rPr>
          <w:rStyle w:val="33"/>
          <w:color w:val="FF0000"/>
          <w:u w:val="single"/>
        </w:rPr>
        <w:footnoteRef/>
      </w:r>
      <w:r>
        <w:rPr>
          <w:rFonts w:hint="eastAsia"/>
          <w:color w:val="FF0000"/>
          <w:u w:val="single"/>
        </w:rPr>
        <w:t xml:space="preserve"> </w:t>
      </w:r>
      <w:r>
        <w:rPr>
          <w:color w:val="FF0000"/>
          <w:u w:val="single"/>
        </w:rPr>
        <w:t>参</w:t>
      </w:r>
      <w:r>
        <w:rPr>
          <w:rFonts w:ascii="Times New Roman" w:hAnsi="Times New Roman"/>
          <w:color w:val="FF0000"/>
          <w:u w:val="single"/>
        </w:rPr>
        <w:t>见MEPC.312(74)决议通过的《MARPOL电子记录簿使用</w:t>
      </w:r>
      <w:r>
        <w:rPr>
          <w:color w:val="FF0000"/>
          <w:u w:val="single"/>
        </w:rPr>
        <w:t>指南》。</w:t>
      </w:r>
    </w:p>
  </w:footnote>
  <w:footnote w:id="3">
    <w:p>
      <w:pPr>
        <w:pStyle w:val="19"/>
        <w:rPr>
          <w:rFonts w:ascii="Times New Roman" w:hAnsi="Times New Roman"/>
          <w:color w:val="FF0000"/>
        </w:rPr>
      </w:pPr>
      <w:r>
        <w:rPr>
          <w:rFonts w:ascii="Times New Roman" w:hAnsi="Times New Roman"/>
          <w:color w:val="FF0000"/>
        </w:rPr>
        <w:footnoteRef/>
      </w:r>
      <w:r>
        <w:rPr>
          <w:rFonts w:ascii="Times New Roman" w:hAnsi="Times New Roman"/>
          <w:strike/>
          <w:color w:val="FF0000"/>
        </w:rPr>
        <w:t xml:space="preserve">  可参见已修订的MEPC/Circ.265，化学品临时评定指南。</w:t>
      </w:r>
      <w:r>
        <w:rPr>
          <w:rFonts w:ascii="Times New Roman" w:hAnsi="Times New Roman"/>
          <w:color w:val="FF0000"/>
          <w:u w:val="single"/>
        </w:rPr>
        <w:t>参见《经修订的散装运输液体物质临时评定指南》(MEPC.1/Circ.512通函)。</w:t>
      </w:r>
    </w:p>
  </w:footnote>
  <w:footnote w:id="4">
    <w:p>
      <w:pPr>
        <w:pStyle w:val="19"/>
        <w:rPr>
          <w:rFonts w:ascii="Times New Roman" w:hAnsi="Times New Roman"/>
          <w:color w:val="FF0000"/>
          <w:u w:val="single"/>
        </w:rPr>
      </w:pPr>
      <w:r>
        <w:rPr>
          <w:rFonts w:ascii="Times New Roman" w:hAnsi="Times New Roman"/>
          <w:color w:val="FF0000"/>
          <w:u w:val="single"/>
        </w:rPr>
        <w:footnoteRef/>
      </w:r>
      <w:r>
        <w:rPr>
          <w:rFonts w:ascii="Times New Roman" w:hAnsi="Times New Roman"/>
          <w:color w:val="FF0000"/>
          <w:u w:val="single"/>
        </w:rPr>
        <w:t xml:space="preserve"> 参见《对无人非自航（UNSP）驳船免除根据MARPOL公约的某些检验和发证要求的指南（MEPC.1/Circ.892）。</w:t>
      </w:r>
    </w:p>
  </w:footnote>
  <w:footnote w:id="5">
    <w:p>
      <w:pPr>
        <w:pStyle w:val="19"/>
        <w:rPr>
          <w:rFonts w:ascii="Times New Roman" w:hAnsi="Times New Roman"/>
        </w:rPr>
      </w:pPr>
      <w:r>
        <w:rPr>
          <w:rFonts w:ascii="Times New Roman" w:hAnsi="Times New Roman"/>
        </w:rPr>
        <w:footnoteRef/>
      </w:r>
      <w:r>
        <w:rPr>
          <w:rFonts w:hint="eastAsia" w:ascii="Times New Roman" w:hAnsi="Times New Roman"/>
        </w:rPr>
        <w:t xml:space="preserve"> </w:t>
      </w:r>
      <w:r>
        <w:rPr>
          <w:rFonts w:ascii="Times New Roman" w:hAnsi="Times New Roman"/>
        </w:rPr>
        <w:t>参见</w:t>
      </w:r>
      <w:r>
        <w:rPr>
          <w:rFonts w:hint="eastAsia" w:ascii="Times New Roman" w:hAnsi="Times New Roman"/>
        </w:rPr>
        <w:t>国际海事组织</w:t>
      </w:r>
      <w:r>
        <w:rPr>
          <w:rFonts w:ascii="Times New Roman" w:hAnsi="Times New Roman"/>
        </w:rPr>
        <w:t>MEPC</w:t>
      </w:r>
      <w:r>
        <w:rPr>
          <w:rFonts w:hint="eastAsia" w:ascii="Times New Roman" w:hAnsi="Times New Roman"/>
        </w:rPr>
        <w:t>.274</w:t>
      </w:r>
      <w:r>
        <w:rPr>
          <w:rFonts w:ascii="Times New Roman" w:hAnsi="Times New Roman"/>
        </w:rPr>
        <w:t>(69)决议</w:t>
      </w:r>
      <w:r>
        <w:rPr>
          <w:rFonts w:hint="eastAsia" w:ascii="Times New Roman" w:hAnsi="Times New Roman"/>
        </w:rPr>
        <w:t>通过的《MARPOL附则IV修正案》。</w:t>
      </w:r>
    </w:p>
  </w:footnote>
  <w:footnote w:id="6">
    <w:p>
      <w:pPr>
        <w:pStyle w:val="19"/>
        <w:rPr>
          <w:rFonts w:ascii="Times New Roman" w:hAnsi="Times New Roman"/>
        </w:rPr>
      </w:pPr>
      <w:r>
        <w:rPr>
          <w:rFonts w:hint="eastAsia" w:ascii="Times New Roman" w:hAnsi="Times New Roman"/>
        </w:rPr>
        <w:footnoteRef/>
      </w:r>
      <w:r>
        <w:rPr>
          <w:rFonts w:hint="eastAsia" w:ascii="Times New Roman" w:hAnsi="Times New Roman"/>
        </w:rPr>
        <w:t xml:space="preserve"> 参见由国际海事组织海上环境保护委员会MEPC.220(63)决议通过的《2012年垃圾管理计划编制指南》。</w:t>
      </w:r>
    </w:p>
  </w:footnote>
  <w:footnote w:id="7">
    <w:p>
      <w:pPr>
        <w:pStyle w:val="19"/>
        <w:rPr>
          <w:rFonts w:ascii="Times New Roman" w:hAnsi="Times New Roman"/>
          <w:color w:val="FF0000"/>
          <w:u w:val="single"/>
          <w:lang w:val="zh-CN"/>
        </w:rPr>
      </w:pPr>
      <w:r>
        <w:rPr>
          <w:rFonts w:hint="eastAsia" w:ascii="Times New Roman" w:hAnsi="Times New Roman"/>
          <w:color w:val="FF0000"/>
          <w:u w:val="single"/>
          <w:lang w:val="zh-CN"/>
        </w:rPr>
        <w:footnoteRef/>
      </w:r>
      <w:r>
        <w:rPr>
          <w:rFonts w:hint="eastAsia" w:ascii="Times New Roman" w:hAnsi="Times New Roman"/>
          <w:color w:val="FF0000"/>
          <w:u w:val="single"/>
          <w:lang w:val="zh-CN"/>
        </w:rPr>
        <w:t xml:space="preserve"> </w:t>
      </w:r>
      <w:r>
        <w:rPr>
          <w:rFonts w:ascii="Times New Roman" w:hAnsi="Times New Roman"/>
          <w:color w:val="FF0000"/>
          <w:u w:val="single"/>
          <w:lang w:val="zh-CN"/>
        </w:rPr>
        <w:t>参见MEPC.312(74)决议通过的《MARPOL规定的使用电子记录簿指南》。</w:t>
      </w:r>
    </w:p>
    <w:p>
      <w:pPr>
        <w:pStyle w:val="19"/>
        <w:rPr>
          <w:lang w:val="zh-CN"/>
        </w:rPr>
      </w:pPr>
    </w:p>
  </w:footnote>
  <w:footnote w:id="8">
    <w:p>
      <w:pPr>
        <w:pStyle w:val="19"/>
        <w:jc w:val="both"/>
        <w:rPr>
          <w:color w:val="FF0000"/>
          <w:u w:val="single"/>
        </w:rPr>
      </w:pPr>
      <w:r>
        <w:rPr>
          <w:rStyle w:val="33"/>
          <w:color w:val="FF0000"/>
          <w:u w:val="single"/>
        </w:rPr>
        <w:footnoteRef/>
      </w:r>
      <w:r>
        <w:rPr>
          <w:color w:val="FF0000"/>
          <w:u w:val="single"/>
        </w:rPr>
        <w:t xml:space="preserve"> </w:t>
      </w:r>
      <w:r>
        <w:rPr>
          <w:rFonts w:hint="eastAsia"/>
          <w:color w:val="FF0000"/>
          <w:u w:val="single"/>
        </w:rPr>
        <w:t>参见《</w:t>
      </w:r>
      <w:r>
        <w:rPr>
          <w:color w:val="FF0000"/>
          <w:u w:val="single"/>
        </w:rPr>
        <w:t>IMO</w:t>
      </w:r>
      <w:r>
        <w:rPr>
          <w:rFonts w:hint="eastAsia"/>
          <w:color w:val="FF0000"/>
          <w:u w:val="single"/>
        </w:rPr>
        <w:t>成员国审核机制框架和程序》（</w:t>
      </w:r>
      <w:r>
        <w:rPr>
          <w:color w:val="FF0000"/>
          <w:u w:val="single"/>
        </w:rPr>
        <w:t>A.1067(28)</w:t>
      </w:r>
      <w:r>
        <w:rPr>
          <w:rFonts w:hint="eastAsia"/>
          <w:color w:val="FF0000"/>
          <w:u w:val="single"/>
        </w:rPr>
        <w:t>决议）。</w:t>
      </w:r>
    </w:p>
  </w:footnote>
  <w:footnote w:id="9">
    <w:p>
      <w:pPr>
        <w:rPr>
          <w:color w:val="FF0000"/>
          <w:u w:val="single"/>
        </w:rPr>
      </w:pPr>
      <w:r>
        <w:rPr>
          <w:rFonts w:hint="eastAsia"/>
          <w:color w:val="FF0000"/>
          <w:sz w:val="18"/>
          <w:u w:val="single"/>
        </w:rPr>
        <w:footnoteRef/>
      </w:r>
      <w:r>
        <w:rPr>
          <w:rFonts w:hint="eastAsia"/>
          <w:color w:val="FF0000"/>
          <w:sz w:val="18"/>
          <w:u w:val="single"/>
        </w:rPr>
        <w:t xml:space="preserve"> 参</w:t>
      </w:r>
      <w:r>
        <w:rPr>
          <w:rFonts w:ascii="Times New Roman" w:hAnsi="Times New Roman" w:cs="Times New Roman"/>
          <w:color w:val="FF0000"/>
          <w:sz w:val="18"/>
          <w:u w:val="single"/>
        </w:rPr>
        <w:t>见ISO 8754:2003《石油产品—硫含量的测定—能量分散X射线荧</w:t>
      </w:r>
      <w:r>
        <w:rPr>
          <w:rFonts w:hint="eastAsia"/>
          <w:color w:val="FF0000"/>
          <w:sz w:val="18"/>
          <w:u w:val="single"/>
        </w:rPr>
        <w:t>光光谱测定法》。</w:t>
      </w:r>
    </w:p>
  </w:footnote>
  <w:footnote w:id="10">
    <w:p>
      <w:pPr>
        <w:pStyle w:val="19"/>
      </w:pPr>
      <w:r>
        <w:rPr>
          <w:rFonts w:hint="eastAsia"/>
        </w:rPr>
        <w:footnoteRef/>
      </w:r>
      <w:r>
        <w:rPr>
          <w:rFonts w:hint="eastAsia"/>
        </w:rPr>
        <w:t xml:space="preserve"> 参</w:t>
      </w:r>
      <w:r>
        <w:rPr>
          <w:rFonts w:ascii="Times New Roman" w:hAnsi="Times New Roman"/>
        </w:rPr>
        <w:t>见《对无人非自航（UNSP）驳船免除MARPOL公约下某些检验和发证要求的指南》（MEPC.1/Circ.892</w:t>
      </w:r>
      <w:r>
        <w:rPr>
          <w:rFonts w:hint="eastAsia"/>
        </w:rPr>
        <w:t>）。</w:t>
      </w:r>
    </w:p>
  </w:footnote>
  <w:footnote w:id="11">
    <w:p>
      <w:pPr>
        <w:pStyle w:val="19"/>
      </w:pPr>
      <w:r>
        <w:rPr>
          <w:rFonts w:hint="eastAsia"/>
        </w:rPr>
        <w:footnoteRef/>
      </w:r>
      <w:r>
        <w:rPr>
          <w:rFonts w:hint="eastAsia"/>
        </w:rPr>
        <w:t xml:space="preserve"> 参见</w:t>
      </w:r>
      <w:r>
        <w:rPr>
          <w:rFonts w:ascii="Times New Roman" w:hAnsi="Times New Roman"/>
        </w:rPr>
        <w:t>MEPC.</w:t>
      </w:r>
      <w:r>
        <w:rPr>
          <w:rFonts w:ascii="Times New Roman" w:hAnsi="Times New Roman"/>
          <w:strike/>
          <w:color w:val="FF0000"/>
        </w:rPr>
        <w:t>59(68)</w:t>
      </w:r>
      <w:r>
        <w:rPr>
          <w:rFonts w:ascii="Times New Roman" w:hAnsi="Times New Roman"/>
          <w:color w:val="FF0000"/>
          <w:u w:val="single"/>
        </w:rPr>
        <w:t>340(77)</w:t>
      </w:r>
      <w:r>
        <w:rPr>
          <w:rFonts w:ascii="Times New Roman" w:hAnsi="Times New Roman"/>
        </w:rPr>
        <w:t>决议通过的《20</w:t>
      </w:r>
      <w:r>
        <w:rPr>
          <w:rFonts w:ascii="Times New Roman" w:hAnsi="Times New Roman"/>
          <w:strike/>
          <w:color w:val="FF0000"/>
        </w:rPr>
        <w:t>15</w:t>
      </w:r>
      <w:r>
        <w:rPr>
          <w:rFonts w:ascii="Times New Roman" w:hAnsi="Times New Roman"/>
          <w:color w:val="FF0000"/>
          <w:u w:val="single"/>
        </w:rPr>
        <w:t>21</w:t>
      </w:r>
      <w:r>
        <w:rPr>
          <w:rFonts w:ascii="Times New Roman" w:hAnsi="Times New Roman"/>
        </w:rPr>
        <w:t>年废气清</w:t>
      </w:r>
      <w:r>
        <w:rPr>
          <w:rFonts w:ascii="Times New Roman" w:hAnsi="Times New Roman"/>
          <w:strike/>
          <w:color w:val="FF0000"/>
        </w:rPr>
        <w:t>洁</w:t>
      </w:r>
      <w:r>
        <w:rPr>
          <w:rFonts w:ascii="Times New Roman" w:hAnsi="Times New Roman"/>
          <w:color w:val="FF0000"/>
          <w:u w:val="single"/>
        </w:rPr>
        <w:t>洗</w:t>
      </w:r>
      <w:r>
        <w:rPr>
          <w:rFonts w:hint="eastAsia"/>
        </w:rPr>
        <w:t>系统指南》。</w:t>
      </w:r>
    </w:p>
  </w:footnote>
  <w:footnote w:id="12">
    <w:p>
      <w:pPr>
        <w:pStyle w:val="19"/>
        <w:jc w:val="both"/>
        <w:rPr>
          <w:rFonts w:ascii="Times New Roman" w:hAnsi="Times New Roman"/>
          <w:sz w:val="15"/>
          <w:szCs w:val="15"/>
        </w:rPr>
      </w:pPr>
      <w:r>
        <w:rPr>
          <w:rFonts w:hint="eastAsia"/>
        </w:rPr>
        <w:footnoteRef/>
      </w:r>
      <w:r>
        <w:rPr>
          <w:rFonts w:hint="eastAsia"/>
        </w:rPr>
        <w:t xml:space="preserve"> </w:t>
      </w:r>
      <w:r>
        <w:rPr>
          <w:rFonts w:hint="eastAsia" w:ascii="Times New Roman" w:hAnsi="Times New Roman"/>
          <w:strike/>
          <w:color w:val="FF0000"/>
        </w:rPr>
        <w:t>参</w:t>
      </w:r>
      <w:r>
        <w:rPr>
          <w:rFonts w:ascii="Times New Roman" w:hAnsi="Times New Roman"/>
          <w:strike/>
          <w:color w:val="FF0000"/>
        </w:rPr>
        <w:t>见IMO以MEPC.254(67)决议通过的并以MEPC.261(68)和MEPC.309(73)决议修正的《2014年船舶能效设计指数（EEDI）检验和发证指南》</w:t>
      </w:r>
      <w:r>
        <w:rPr>
          <w:rFonts w:ascii="Times New Roman" w:hAnsi="Times New Roman"/>
          <w:strike/>
          <w:color w:val="FF0000"/>
          <w:szCs w:val="21"/>
        </w:rPr>
        <w:t>。</w:t>
      </w:r>
      <w:r>
        <w:rPr>
          <w:rFonts w:ascii="Times New Roman" w:hAnsi="Times New Roman"/>
          <w:color w:val="FF0000"/>
          <w:u w:val="single"/>
        </w:rPr>
        <w:t>参见《2014年能效设计指数检验和发证指南》（MEPC.254(67)决议，经MEPC.261(68)决议和MEPC.309(73)决议修正）；综合文本：MEPC.1 / Circ.855 /Rev.2，可能会进一步修正。</w:t>
      </w:r>
    </w:p>
  </w:footnote>
  <w:footnote w:id="13">
    <w:p>
      <w:pPr>
        <w:autoSpaceDE w:val="0"/>
        <w:autoSpaceDN w:val="0"/>
        <w:adjustRightInd w:val="0"/>
        <w:snapToGrid w:val="0"/>
        <w:rPr>
          <w:sz w:val="18"/>
          <w:szCs w:val="18"/>
        </w:rPr>
      </w:pPr>
      <w:r>
        <w:rPr>
          <w:rFonts w:hint="eastAsia" w:ascii="宋体" w:hAnsi="宋体" w:eastAsia="宋体" w:cs="宋体"/>
          <w:sz w:val="18"/>
          <w:szCs w:val="18"/>
        </w:rPr>
        <w:footnoteRef/>
      </w:r>
      <w:r>
        <w:rPr>
          <w:rFonts w:hint="eastAsia" w:ascii="Calibri" w:hAnsi="Calibri" w:eastAsia="宋体" w:cs="Times New Roman"/>
          <w:sz w:val="18"/>
          <w:szCs w:val="18"/>
        </w:rPr>
        <w:t xml:space="preserve"> </w:t>
      </w:r>
      <w:r>
        <w:rPr>
          <w:rFonts w:hint="eastAsia" w:ascii="Times New Roman" w:hAnsi="Times New Roman" w:eastAsia="宋体" w:cs="Times New Roman"/>
          <w:strike/>
          <w:color w:val="FF0000"/>
          <w:sz w:val="18"/>
          <w:szCs w:val="18"/>
        </w:rPr>
        <w:t>参照由国际海事组织</w:t>
      </w:r>
      <w:r>
        <w:rPr>
          <w:rFonts w:ascii="Times New Roman" w:hAnsi="Times New Roman" w:eastAsia="宋体" w:cs="Times New Roman"/>
          <w:strike/>
          <w:color w:val="FF0000"/>
          <w:sz w:val="18"/>
          <w:szCs w:val="18"/>
        </w:rPr>
        <w:t>A.739(18)</w:t>
      </w:r>
      <w:r>
        <w:rPr>
          <w:rFonts w:hint="eastAsia" w:ascii="Times New Roman" w:hAnsi="Times New Roman" w:eastAsia="宋体" w:cs="Times New Roman"/>
          <w:strike/>
          <w:color w:val="FF0000"/>
          <w:sz w:val="18"/>
          <w:szCs w:val="18"/>
        </w:rPr>
        <w:t>决议通过并经MSC.208(81)决议修正的《代表主管机关的组织的授权指南》，和</w:t>
      </w:r>
      <w:r>
        <w:rPr>
          <w:rFonts w:hint="eastAsia" w:ascii="宋体" w:hAnsi="宋体" w:cs="宋体"/>
          <w:strike/>
          <w:color w:val="FF0000"/>
          <w:sz w:val="18"/>
          <w:szCs w:val="18"/>
        </w:rPr>
        <w:t>由国际海事组织</w:t>
      </w:r>
      <w:r>
        <w:rPr>
          <w:strike/>
          <w:color w:val="FF0000"/>
          <w:sz w:val="18"/>
          <w:szCs w:val="18"/>
        </w:rPr>
        <w:t>A.789(19)</w:t>
      </w:r>
      <w:r>
        <w:rPr>
          <w:rFonts w:hint="eastAsia" w:ascii="宋体" w:hAnsi="宋体" w:cs="宋体"/>
          <w:strike/>
          <w:color w:val="FF0000"/>
          <w:sz w:val="18"/>
          <w:szCs w:val="18"/>
        </w:rPr>
        <w:t>决议通过、并可能经修正的《被认可组织代表主管机关执行检验和发证的细则》。</w:t>
      </w:r>
      <w:r>
        <w:rPr>
          <w:rFonts w:hint="eastAsia"/>
          <w:color w:val="FF0000"/>
          <w:sz w:val="18"/>
          <w:szCs w:val="18"/>
          <w:u w:val="single"/>
        </w:rPr>
        <w:t>参见国际海事</w:t>
      </w:r>
      <w:r>
        <w:rPr>
          <w:color w:val="FF0000"/>
          <w:sz w:val="18"/>
          <w:szCs w:val="18"/>
          <w:u w:val="single"/>
        </w:rPr>
        <w:t>组织</w:t>
      </w:r>
      <w:r>
        <w:rPr>
          <w:rFonts w:hint="eastAsia"/>
          <w:color w:val="FF0000"/>
          <w:sz w:val="18"/>
          <w:szCs w:val="18"/>
          <w:u w:val="single"/>
        </w:rPr>
        <w:t>以</w:t>
      </w:r>
      <w:r>
        <w:rPr>
          <w:color w:val="FF0000"/>
          <w:sz w:val="18"/>
          <w:szCs w:val="18"/>
          <w:u w:val="single"/>
        </w:rPr>
        <w:t>MEPC.237(65)决议通过的《认可组织</w:t>
      </w:r>
      <w:r>
        <w:rPr>
          <w:rFonts w:hint="eastAsia"/>
          <w:color w:val="FF0000"/>
          <w:sz w:val="18"/>
          <w:szCs w:val="18"/>
          <w:u w:val="single"/>
        </w:rPr>
        <w:t>规则</w:t>
      </w:r>
      <w:r>
        <w:rPr>
          <w:color w:val="FF0000"/>
          <w:sz w:val="18"/>
          <w:szCs w:val="18"/>
          <w:u w:val="single"/>
        </w:rPr>
        <w:t>》(RO</w:t>
      </w:r>
      <w:r>
        <w:rPr>
          <w:rFonts w:hint="eastAsia"/>
          <w:color w:val="FF0000"/>
          <w:sz w:val="18"/>
          <w:szCs w:val="18"/>
          <w:u w:val="single"/>
        </w:rPr>
        <w:t>规则</w:t>
      </w:r>
      <w:r>
        <w:rPr>
          <w:color w:val="FF0000"/>
          <w:sz w:val="18"/>
          <w:szCs w:val="18"/>
          <w:u w:val="single"/>
        </w:rPr>
        <w:t>)，并可</w:t>
      </w:r>
      <w:r>
        <w:rPr>
          <w:rFonts w:hint="eastAsia"/>
          <w:color w:val="FF0000"/>
          <w:sz w:val="18"/>
          <w:szCs w:val="18"/>
          <w:u w:val="single"/>
        </w:rPr>
        <w:t>能经修正。</w:t>
      </w:r>
    </w:p>
  </w:footnote>
  <w:footnote w:id="14">
    <w:p>
      <w:pPr>
        <w:autoSpaceDE w:val="0"/>
        <w:autoSpaceDN w:val="0"/>
        <w:adjustRightInd w:val="0"/>
        <w:snapToGrid w:val="0"/>
        <w:ind w:left="425" w:hanging="424" w:hangingChars="236"/>
        <w:rPr>
          <w:rFonts w:ascii="宋体" w:cs="宋体"/>
          <w:color w:val="FF0000"/>
          <w:kern w:val="0"/>
          <w:sz w:val="18"/>
          <w:szCs w:val="18"/>
          <w:u w:val="single"/>
        </w:rPr>
      </w:pPr>
      <w:r>
        <w:rPr>
          <w:rFonts w:hint="eastAsia"/>
          <w:color w:val="FF0000"/>
          <w:sz w:val="18"/>
          <w:szCs w:val="18"/>
          <w:u w:val="single"/>
        </w:rPr>
        <w:footnoteRef/>
      </w:r>
      <w:r>
        <w:rPr>
          <w:rFonts w:hint="eastAsia"/>
          <w:color w:val="FF0000"/>
          <w:sz w:val="18"/>
          <w:szCs w:val="18"/>
          <w:u w:val="single"/>
        </w:rPr>
        <w:t xml:space="preserve"> 参见国际海事</w:t>
      </w:r>
      <w:r>
        <w:rPr>
          <w:rFonts w:ascii="Times New Roman" w:hAnsi="Times New Roman" w:cs="Times New Roman"/>
          <w:color w:val="FF0000"/>
          <w:sz w:val="18"/>
          <w:szCs w:val="18"/>
          <w:u w:val="single"/>
        </w:rPr>
        <w:t>组织以MEPC.237(65)决议通过的《认可组织规则》(RO规则)，</w:t>
      </w:r>
      <w:r>
        <w:rPr>
          <w:color w:val="FF0000"/>
          <w:sz w:val="18"/>
          <w:szCs w:val="18"/>
          <w:u w:val="single"/>
        </w:rPr>
        <w:t>并可</w:t>
      </w:r>
      <w:r>
        <w:rPr>
          <w:rFonts w:hint="eastAsia"/>
          <w:color w:val="FF0000"/>
          <w:sz w:val="18"/>
          <w:szCs w:val="18"/>
          <w:u w:val="single"/>
        </w:rPr>
        <w:t>能经修正。</w:t>
      </w:r>
    </w:p>
  </w:footnote>
  <w:footnote w:id="15">
    <w:p>
      <w:pPr>
        <w:pStyle w:val="19"/>
        <w:rPr>
          <w:rFonts w:ascii="Times New Roman" w:hAnsi="Times New Roman"/>
          <w:color w:val="FF0000"/>
          <w:u w:val="single"/>
        </w:rPr>
      </w:pPr>
      <w:r>
        <w:rPr>
          <w:rFonts w:ascii="Times New Roman" w:hAnsi="Times New Roman"/>
          <w:color w:val="FF0000"/>
          <w:u w:val="single"/>
        </w:rPr>
        <w:footnoteRef/>
      </w:r>
      <w:r>
        <w:rPr>
          <w:rFonts w:hint="eastAsia" w:ascii="Times New Roman" w:hAnsi="Times New Roman"/>
          <w:color w:val="FF0000"/>
          <w:u w:val="single"/>
        </w:rPr>
        <w:t xml:space="preserve"> </w:t>
      </w:r>
      <w:r>
        <w:rPr>
          <w:rFonts w:ascii="Times New Roman" w:hAnsi="Times New Roman"/>
          <w:color w:val="FF0000"/>
          <w:u w:val="single"/>
        </w:rPr>
        <w:t>见附录I，国际防止空气污染证书(IAPP证书)的附件，第2.1节。</w:t>
      </w:r>
    </w:p>
  </w:footnote>
  <w:footnote w:id="16">
    <w:p>
      <w:pPr>
        <w:pStyle w:val="19"/>
        <w:rPr>
          <w:color w:val="FF0000"/>
          <w:u w:val="single"/>
        </w:rPr>
      </w:pPr>
      <w:r>
        <w:rPr>
          <w:rFonts w:ascii="Times New Roman" w:hAnsi="Times New Roman"/>
          <w:color w:val="FF0000"/>
          <w:u w:val="single"/>
        </w:rPr>
        <w:footnoteRef/>
      </w:r>
      <w:r>
        <w:rPr>
          <w:rFonts w:ascii="Times New Roman" w:hAnsi="Times New Roman"/>
          <w:color w:val="FF0000"/>
          <w:u w:val="single"/>
        </w:rPr>
        <w:t xml:space="preserve"> 参见MEPC.312(74)决议通过的《MARPOL电子记录簿使用指南》。</w:t>
      </w:r>
    </w:p>
  </w:footnote>
  <w:footnote w:id="17">
    <w:p>
      <w:pPr>
        <w:pStyle w:val="19"/>
      </w:pPr>
      <w:r>
        <w:rPr>
          <w:rFonts w:ascii="Times New Roman" w:hAnsi="Times New Roman"/>
          <w:color w:val="FF0000"/>
          <w:u w:val="single"/>
        </w:rPr>
        <w:footnoteRef/>
      </w:r>
      <w:r>
        <w:rPr>
          <w:rFonts w:ascii="Times New Roman" w:hAnsi="Times New Roman"/>
          <w:color w:val="FF0000"/>
          <w:u w:val="single"/>
        </w:rPr>
        <w:t xml:space="preserve"> 参见MEPC.312(74)决议通过的《MARPOL电子记录簿使用指南》。</w:t>
      </w:r>
    </w:p>
  </w:footnote>
  <w:footnote w:id="18">
    <w:p>
      <w:pPr>
        <w:pStyle w:val="19"/>
        <w:rPr>
          <w:rFonts w:ascii="Times New Roman" w:hAnsi="Times New Roman"/>
        </w:rPr>
      </w:pPr>
      <w:r>
        <w:rPr>
          <w:rFonts w:ascii="Times New Roman" w:hAnsi="Times New Roman"/>
        </w:rPr>
        <w:footnoteRef/>
      </w:r>
      <w:r>
        <w:rPr>
          <w:rFonts w:ascii="Times New Roman" w:hAnsi="Times New Roman"/>
        </w:rPr>
        <w:t xml:space="preserve"> 参见《MARPOL电子记录簿使用指南》（MEPC.312(74)决议）。</w:t>
      </w:r>
    </w:p>
  </w:footnote>
  <w:footnote w:id="19">
    <w:p>
      <w:pPr>
        <w:pStyle w:val="19"/>
        <w:rPr>
          <w:rFonts w:ascii="Times New Roman" w:hAnsi="Times New Roman"/>
        </w:rPr>
      </w:pPr>
      <w:r>
        <w:rPr>
          <w:rFonts w:ascii="Times New Roman" w:hAnsi="Times New Roman"/>
        </w:rPr>
        <w:footnoteRef/>
      </w:r>
      <w:r>
        <w:rPr>
          <w:rFonts w:ascii="Times New Roman" w:hAnsi="Times New Roman"/>
        </w:rPr>
        <w:t xml:space="preserve"> 参见MEPC.1/Circ.878通函《船舶统一实施MARPOL附则VI 0.5%燃油硫含量标准的实施计划制订导则》。</w:t>
      </w:r>
    </w:p>
  </w:footnote>
  <w:footnote w:id="20">
    <w:p>
      <w:pPr>
        <w:pStyle w:val="19"/>
        <w:rPr>
          <w:rFonts w:ascii="Times New Roman" w:hAnsi="Times New Roman"/>
        </w:rPr>
      </w:pPr>
      <w:r>
        <w:rPr>
          <w:rFonts w:ascii="Times New Roman" w:hAnsi="Times New Roman"/>
        </w:rPr>
        <w:footnoteRef/>
      </w:r>
      <w:r>
        <w:rPr>
          <w:rFonts w:hint="eastAsia" w:ascii="Times New Roman" w:hAnsi="Times New Roman"/>
        </w:rPr>
        <w:t xml:space="preserve"> </w:t>
      </w:r>
      <w:r>
        <w:t>参</w:t>
      </w:r>
      <w:r>
        <w:rPr>
          <w:rFonts w:ascii="Times New Roman" w:hAnsi="Times New Roman"/>
        </w:rPr>
        <w:t>见《MARPOL电子记录簿使用指南》（MEPC.312(74)决议）。</w:t>
      </w:r>
    </w:p>
  </w:footnote>
  <w:footnote w:id="21">
    <w:p>
      <w:pPr>
        <w:pStyle w:val="19"/>
        <w:ind w:left="180" w:hanging="180" w:hangingChars="100"/>
        <w:jc w:val="both"/>
        <w:rPr>
          <w:rFonts w:ascii="Times New Roman" w:hAnsi="Times New Roman"/>
          <w:color w:val="FF0000"/>
          <w:u w:val="single"/>
        </w:rPr>
      </w:pPr>
      <w:r>
        <w:rPr>
          <w:rFonts w:ascii="Times New Roman" w:hAnsi="Times New Roman"/>
          <w:color w:val="FF0000"/>
          <w:u w:val="single"/>
        </w:rPr>
        <w:footnoteRef/>
      </w:r>
      <w:r>
        <w:rPr>
          <w:rFonts w:ascii="Times New Roman" w:hAnsi="Times New Roman"/>
          <w:color w:val="FF0000"/>
          <w:u w:val="single"/>
        </w:rPr>
        <w:t xml:space="preserve"> 参见《2019年船上在用燃油硫含量验证船上取样指南》（MEPC.1/Circ.864/Rev.1通函）。</w:t>
      </w:r>
    </w:p>
  </w:footnote>
  <w:footnote w:id="22">
    <w:p>
      <w:pPr>
        <w:pStyle w:val="19"/>
        <w:ind w:left="180" w:hanging="180" w:hangingChars="100"/>
        <w:jc w:val="both"/>
        <w:rPr>
          <w:rFonts w:ascii="Times New Roman" w:hAnsi="Times New Roman"/>
          <w:color w:val="FF0000"/>
          <w:u w:val="single"/>
        </w:rPr>
      </w:pPr>
      <w:r>
        <w:rPr>
          <w:rFonts w:ascii="Times New Roman" w:hAnsi="Times New Roman"/>
          <w:color w:val="FF0000"/>
          <w:u w:val="single"/>
        </w:rPr>
        <w:footnoteRef/>
      </w:r>
      <w:r>
        <w:rPr>
          <w:rFonts w:ascii="Times New Roman" w:hAnsi="Times New Roman"/>
          <w:color w:val="FF0000"/>
          <w:u w:val="single"/>
        </w:rPr>
        <w:t xml:space="preserve"> 参见《2020年船上拟使用或载运的船用燃油船上取样指南》（MEPC.1/Circ.889通函）。</w:t>
      </w:r>
    </w:p>
  </w:footnote>
  <w:footnote w:id="23">
    <w:p>
      <w:pPr>
        <w:pStyle w:val="19"/>
        <w:rPr>
          <w:rFonts w:ascii="Times New Roman" w:hAnsi="Times New Roman"/>
          <w:sz w:val="15"/>
          <w:szCs w:val="15"/>
        </w:rPr>
      </w:pPr>
      <w:r>
        <w:rPr>
          <w:rFonts w:ascii="Times New Roman" w:hAnsi="Times New Roman"/>
        </w:rPr>
        <w:footnoteRef/>
      </w:r>
      <w:r>
        <w:rPr>
          <w:rFonts w:ascii="Times New Roman" w:hAnsi="Times New Roman"/>
        </w:rPr>
        <w:t xml:space="preserve"> 参见</w:t>
      </w:r>
      <w:r>
        <w:rPr>
          <w:rFonts w:ascii="Times New Roman" w:hAnsi="Times New Roman"/>
          <w:strike/>
          <w:color w:val="FF0000"/>
        </w:rPr>
        <w:t>国际海事组织以</w:t>
      </w:r>
      <w:r>
        <w:rPr>
          <w:rFonts w:ascii="Times New Roman" w:hAnsi="Times New Roman"/>
        </w:rPr>
        <w:t>MEPC.221(63)决议</w:t>
      </w:r>
      <w:r>
        <w:rPr>
          <w:rFonts w:ascii="Times New Roman" w:hAnsi="Times New Roman"/>
          <w:strike/>
          <w:color w:val="FF0000"/>
        </w:rPr>
        <w:t>通过的</w:t>
      </w:r>
      <w:r>
        <w:rPr>
          <w:rFonts w:ascii="Times New Roman" w:hAnsi="Times New Roman"/>
        </w:rPr>
        <w:t>《2012年区域接收设施计划制定</w:t>
      </w:r>
      <w:r>
        <w:rPr>
          <w:rFonts w:ascii="Times New Roman" w:hAnsi="Times New Roman"/>
          <w:strike/>
          <w:color w:val="FF0000"/>
        </w:rPr>
        <w:t>导则</w:t>
      </w:r>
      <w:r>
        <w:rPr>
          <w:rFonts w:ascii="Times New Roman" w:hAnsi="Times New Roman"/>
          <w:color w:val="FF0000"/>
        </w:rPr>
        <w:t>指南</w:t>
      </w:r>
      <w:r>
        <w:rPr>
          <w:rFonts w:ascii="Times New Roman" w:hAnsi="Times New Roman"/>
        </w:rPr>
        <w:t>》。</w:t>
      </w:r>
    </w:p>
  </w:footnote>
  <w:footnote w:id="24">
    <w:p>
      <w:pPr>
        <w:pStyle w:val="19"/>
        <w:rPr>
          <w:color w:val="FF0000"/>
          <w:u w:val="single"/>
        </w:rPr>
      </w:pPr>
      <w:r>
        <w:rPr>
          <w:rFonts w:ascii="Times New Roman" w:hAnsi="Times New Roman"/>
          <w:color w:val="FF0000"/>
          <w:u w:val="single"/>
        </w:rPr>
        <w:footnoteRef/>
      </w:r>
      <w:r>
        <w:rPr>
          <w:rFonts w:ascii="Times New Roman" w:hAnsi="Times New Roman"/>
          <w:color w:val="FF0000"/>
          <w:u w:val="single"/>
        </w:rPr>
        <w:t xml:space="preserve"> 参见MEPC.199(62)决议《2011年MARPOL附则VI规定的接收设</w:t>
      </w:r>
      <w:r>
        <w:rPr>
          <w:rFonts w:hint="eastAsia"/>
          <w:color w:val="FF0000"/>
          <w:u w:val="single"/>
        </w:rPr>
        <w:t>备指南》。</w:t>
      </w:r>
    </w:p>
  </w:footnote>
  <w:footnote w:id="25">
    <w:p>
      <w:pPr>
        <w:pStyle w:val="19"/>
      </w:pPr>
      <w:r>
        <w:rPr>
          <w:rStyle w:val="33"/>
          <w:strike/>
          <w:color w:val="FF0000"/>
        </w:rPr>
        <w:footnoteRef/>
      </w:r>
      <w:r>
        <w:rPr>
          <w:rFonts w:ascii="Times New Roman" w:hAnsi="Times New Roman"/>
          <w:strike/>
          <w:color w:val="FF0000"/>
        </w:rPr>
        <w:t xml:space="preserve"> 参见MEPC.199(62)决议《2011年MARPOL附则VI规</w:t>
      </w:r>
      <w:r>
        <w:rPr>
          <w:rFonts w:hint="eastAsia"/>
          <w:strike/>
          <w:color w:val="FF0000"/>
        </w:rPr>
        <w:t>定的接收设备指南》</w:t>
      </w:r>
    </w:p>
  </w:footnote>
  <w:footnote w:id="26">
    <w:p>
      <w:pPr>
        <w:pStyle w:val="19"/>
      </w:pPr>
      <w:r>
        <w:rPr>
          <w:rStyle w:val="33"/>
        </w:rPr>
        <w:footnoteRef/>
      </w:r>
      <w:r>
        <w:t xml:space="preserve"> </w:t>
      </w:r>
      <w:r>
        <w:rPr>
          <w:rFonts w:hint="eastAsia"/>
        </w:rPr>
        <w:t>参见</w:t>
      </w:r>
      <w:r>
        <w:rPr>
          <w:rFonts w:ascii="Times New Roman" w:hAnsi="Times New Roman"/>
        </w:rPr>
        <w:t>MEPC.182(59)决议：《</w:t>
      </w:r>
      <w:r>
        <w:rPr>
          <w:rFonts w:ascii="Times New Roman" w:hAnsi="Times New Roman"/>
          <w:color w:val="FF0000"/>
          <w:u w:val="single"/>
        </w:rPr>
        <w:t>2009年</w:t>
      </w:r>
      <w:r>
        <w:rPr>
          <w:rFonts w:ascii="Times New Roman" w:hAnsi="Times New Roman"/>
        </w:rPr>
        <w:t>为确定符合经修订的MARPOL附则VI要求的燃</w:t>
      </w:r>
      <w:r>
        <w:rPr>
          <w:rFonts w:hint="eastAsia"/>
        </w:rPr>
        <w:t>油取样指南》。</w:t>
      </w:r>
    </w:p>
  </w:footnote>
  <w:footnote w:id="27">
    <w:p>
      <w:pPr>
        <w:pStyle w:val="19"/>
        <w:jc w:val="both"/>
        <w:rPr>
          <w:strike/>
          <w:color w:val="FF0000"/>
          <w:u w:val="single"/>
        </w:rPr>
      </w:pPr>
      <w:r>
        <w:rPr>
          <w:rStyle w:val="33"/>
          <w:strike/>
          <w:color w:val="FF0000"/>
        </w:rPr>
        <w:footnoteRef/>
      </w:r>
      <w:r>
        <w:rPr>
          <w:rFonts w:hint="eastAsia"/>
          <w:strike/>
          <w:color w:val="FF0000"/>
        </w:rPr>
        <w:t xml:space="preserve"> 参</w:t>
      </w:r>
      <w:r>
        <w:rPr>
          <w:rFonts w:ascii="Times New Roman" w:hAnsi="Times New Roman"/>
          <w:strike/>
          <w:color w:val="FF0000"/>
        </w:rPr>
        <w:t>见MEPC.1/Circ.863通函《MARPOL 附则VI第4 章要</w:t>
      </w:r>
      <w:r>
        <w:rPr>
          <w:rFonts w:hint="eastAsia"/>
          <w:strike/>
          <w:color w:val="FF0000"/>
        </w:rPr>
        <w:t>求的免除建议》。</w:t>
      </w:r>
    </w:p>
  </w:footnote>
  <w:footnote w:id="28">
    <w:p>
      <w:pPr>
        <w:spacing w:line="0" w:lineRule="atLeast"/>
        <w:ind w:left="285" w:leftChars="-4" w:hanging="293" w:hangingChars="163"/>
        <w:rPr>
          <w:rFonts w:ascii="Times New Roman" w:hAnsi="Times New Roman" w:cs="Times New Roman"/>
          <w:sz w:val="18"/>
          <w:szCs w:val="18"/>
        </w:rPr>
      </w:pPr>
      <w:r>
        <w:rPr>
          <w:rFonts w:ascii="Times New Roman" w:hAnsi="Times New Roman" w:cs="Times New Roman"/>
          <w:sz w:val="18"/>
          <w:szCs w:val="18"/>
        </w:rPr>
        <w:footnoteRef/>
      </w:r>
      <w:r>
        <w:rPr>
          <w:rFonts w:ascii="Times New Roman" w:hAnsi="Times New Roman" w:cs="Times New Roman"/>
          <w:sz w:val="18"/>
          <w:szCs w:val="18"/>
        </w:rPr>
        <w:t xml:space="preserve"> </w:t>
      </w:r>
      <w:r>
        <w:rPr>
          <w:rFonts w:hint="eastAsia" w:ascii="Times New Roman" w:hAnsi="Times New Roman" w:cs="Times New Roman"/>
          <w:sz w:val="18"/>
          <w:szCs w:val="18"/>
        </w:rPr>
        <w:t>参见《</w:t>
      </w:r>
      <w:r>
        <w:rPr>
          <w:rFonts w:ascii="Times New Roman" w:hAnsi="Times New Roman" w:cs="Times New Roman"/>
          <w:sz w:val="18"/>
          <w:szCs w:val="18"/>
        </w:rPr>
        <w:t>IMO船舶温室气体</w:t>
      </w:r>
      <w:r>
        <w:rPr>
          <w:rFonts w:hint="eastAsia" w:ascii="Times New Roman" w:hAnsi="Times New Roman" w:cs="Times New Roman"/>
          <w:sz w:val="18"/>
          <w:szCs w:val="18"/>
        </w:rPr>
        <w:t>减排</w:t>
      </w:r>
      <w:r>
        <w:rPr>
          <w:rFonts w:ascii="Times New Roman" w:hAnsi="Times New Roman" w:cs="Times New Roman"/>
          <w:sz w:val="18"/>
          <w:szCs w:val="18"/>
        </w:rPr>
        <w:t>初步战略</w:t>
      </w:r>
      <w:r>
        <w:rPr>
          <w:rFonts w:hint="eastAsia" w:ascii="Times New Roman" w:hAnsi="Times New Roman" w:cs="Times New Roman"/>
          <w:sz w:val="18"/>
          <w:szCs w:val="18"/>
        </w:rPr>
        <w:t>》（MEPC.304(72)决议）。</w:t>
      </w:r>
    </w:p>
  </w:footnote>
  <w:footnote w:id="29">
    <w:p>
      <w:pPr>
        <w:spacing w:line="0" w:lineRule="atLeast"/>
        <w:ind w:left="285" w:leftChars="-4" w:hanging="293" w:hangingChars="163"/>
        <w:rPr>
          <w:rFonts w:ascii="Times New Roman" w:hAnsi="Times New Roman" w:cs="Times New Roman"/>
          <w:sz w:val="18"/>
          <w:szCs w:val="18"/>
        </w:rPr>
      </w:pPr>
      <w:r>
        <w:rPr>
          <w:rFonts w:ascii="Times New Roman" w:hAnsi="Times New Roman" w:cs="Times New Roman"/>
          <w:sz w:val="18"/>
          <w:szCs w:val="18"/>
        </w:rPr>
        <w:footnoteRef/>
      </w:r>
      <w:r>
        <w:rPr>
          <w:rFonts w:hint="eastAsia" w:ascii="Times New Roman" w:hAnsi="Times New Roman" w:cs="Times New Roman"/>
          <w:sz w:val="18"/>
          <w:szCs w:val="18"/>
        </w:rPr>
        <w:t xml:space="preserve"> </w:t>
      </w:r>
      <w:r>
        <w:rPr>
          <w:rFonts w:ascii="Times New Roman" w:hAnsi="Times New Roman" w:cs="Times New Roman"/>
          <w:sz w:val="18"/>
          <w:szCs w:val="18"/>
        </w:rPr>
        <w:t>参见IMO以MEPC.237(65)决议通过的《认可组织规则》(RO规则)，并可能经IMO修正。</w:t>
      </w:r>
    </w:p>
  </w:footnote>
  <w:footnote w:id="30">
    <w:p>
      <w:pPr>
        <w:spacing w:line="0" w:lineRule="atLeast"/>
        <w:ind w:left="285" w:leftChars="-4" w:hanging="293" w:hangingChars="163"/>
        <w:rPr>
          <w:rFonts w:ascii="Times New Roman" w:hAnsi="Times New Roman" w:cs="Times New Roman"/>
          <w:sz w:val="18"/>
          <w:szCs w:val="18"/>
        </w:rPr>
      </w:pPr>
      <w:r>
        <w:rPr>
          <w:rFonts w:ascii="Times New Roman" w:hAnsi="Times New Roman" w:cs="Times New Roman"/>
          <w:sz w:val="18"/>
          <w:szCs w:val="18"/>
        </w:rPr>
        <w:footnoteRef/>
      </w:r>
      <w:r>
        <w:rPr>
          <w:rFonts w:ascii="Times New Roman" w:hAnsi="Times New Roman" w:cs="Times New Roman"/>
          <w:sz w:val="18"/>
          <w:szCs w:val="18"/>
        </w:rPr>
        <w:t xml:space="preserve"> 参见《2018 年新船达到的能效设计指数(EEDI)计算方法指南》(经MEPC.322(74)和MEPC.332(76)决议修正的MEPC.308(73) 决议)。</w:t>
      </w:r>
    </w:p>
  </w:footnote>
  <w:footnote w:id="31">
    <w:p>
      <w:pPr>
        <w:spacing w:line="0" w:lineRule="atLeast"/>
        <w:ind w:left="285" w:leftChars="-4" w:hanging="293" w:hangingChars="163"/>
        <w:rPr>
          <w:rFonts w:ascii="Times New Roman" w:hAnsi="Times New Roman" w:cs="Times New Roman"/>
          <w:sz w:val="18"/>
          <w:szCs w:val="18"/>
        </w:rPr>
      </w:pPr>
      <w:r>
        <w:rPr>
          <w:rFonts w:ascii="Times New Roman" w:hAnsi="Times New Roman" w:cs="Times New Roman"/>
          <w:sz w:val="18"/>
          <w:szCs w:val="18"/>
        </w:rPr>
        <w:footnoteRef/>
      </w:r>
      <w:r>
        <w:rPr>
          <w:rFonts w:ascii="Times New Roman" w:hAnsi="Times New Roman" w:cs="Times New Roman"/>
          <w:sz w:val="18"/>
          <w:szCs w:val="18"/>
        </w:rPr>
        <w:t xml:space="preserve"> 参见《2018 年新船达到的能效设计指数(EEDI)计算方法指南》(经MEPC.322(74)和MEPC.332(76)决议修正的MEPC.308(73) 决议)。</w:t>
      </w:r>
    </w:p>
  </w:footnote>
  <w:footnote w:id="32">
    <w:p>
      <w:pPr>
        <w:spacing w:line="0" w:lineRule="atLeast"/>
        <w:ind w:left="285" w:leftChars="-4" w:hanging="293" w:hangingChars="163"/>
        <w:rPr>
          <w:rFonts w:ascii="Times New Roman" w:hAnsi="Times New Roman" w:cs="Times New Roman"/>
          <w:sz w:val="18"/>
          <w:szCs w:val="18"/>
        </w:rPr>
      </w:pPr>
      <w:r>
        <w:rPr>
          <w:rFonts w:ascii="Times New Roman" w:hAnsi="Times New Roman" w:cs="Times New Roman"/>
          <w:sz w:val="18"/>
          <w:szCs w:val="18"/>
        </w:rPr>
        <w:footnoteRef/>
      </w:r>
      <w:r>
        <w:rPr>
          <w:rFonts w:ascii="Times New Roman" w:hAnsi="Times New Roman" w:cs="Times New Roman"/>
          <w:sz w:val="18"/>
          <w:szCs w:val="18"/>
        </w:rPr>
        <w:t xml:space="preserve"> 参见IMO以MEPC.237(65)决议通过的《认可组织规则》(RO规则)，并可能经IMO修正。</w:t>
      </w:r>
    </w:p>
  </w:footnote>
  <w:footnote w:id="33">
    <w:p>
      <w:pPr>
        <w:spacing w:line="0" w:lineRule="atLeast"/>
        <w:ind w:left="285" w:leftChars="-4" w:hanging="293" w:hangingChars="163"/>
        <w:rPr>
          <w:rFonts w:ascii="Times New Roman" w:hAnsi="Times New Roman" w:cs="Times New Roman"/>
          <w:b/>
          <w:sz w:val="18"/>
          <w:szCs w:val="18"/>
        </w:rPr>
      </w:pPr>
      <w:r>
        <w:rPr>
          <w:rFonts w:ascii="Times New Roman" w:hAnsi="Times New Roman" w:cs="Times New Roman"/>
          <w:sz w:val="18"/>
          <w:szCs w:val="18"/>
        </w:rPr>
        <w:footnoteRef/>
      </w:r>
      <w:r>
        <w:rPr>
          <w:rFonts w:ascii="Times New Roman" w:hAnsi="Times New Roman" w:cs="Times New Roman"/>
          <w:sz w:val="18"/>
          <w:szCs w:val="18"/>
        </w:rPr>
        <w:t xml:space="preserve"> 参见《2021年现有船舶达到的能效指数（EEXI）计算方法指南》(MEPC.333(76) 决议)。</w:t>
      </w:r>
    </w:p>
  </w:footnote>
  <w:footnote w:id="34">
    <w:p>
      <w:pPr>
        <w:spacing w:line="0" w:lineRule="atLeast"/>
        <w:ind w:left="285" w:leftChars="-4" w:hanging="293" w:hangingChars="163"/>
        <w:rPr>
          <w:rFonts w:ascii="Times New Roman" w:hAnsi="Times New Roman" w:cs="Times New Roman"/>
          <w:sz w:val="18"/>
          <w:szCs w:val="18"/>
        </w:rPr>
      </w:pPr>
      <w:r>
        <w:rPr>
          <w:rFonts w:hint="eastAsia" w:ascii="Times New Roman" w:hAnsi="Times New Roman" w:cs="Times New Roman"/>
          <w:sz w:val="18"/>
          <w:szCs w:val="18"/>
        </w:rPr>
        <w:footnoteRef/>
      </w:r>
      <w:r>
        <w:rPr>
          <w:rFonts w:hint="eastAsia" w:ascii="Times New Roman" w:hAnsi="Times New Roman" w:cs="Times New Roman"/>
          <w:sz w:val="18"/>
          <w:szCs w:val="18"/>
        </w:rPr>
        <w:t xml:space="preserve"> 参见《2013年确定船舶在恶劣海况下维持操纵性的最小推进功率的临时导则》（经MEPC.255(67)决议和MEPC.262(68)决议修正的MEPC.232(65)决议）；综合文本：MEPC.1/Circ.850/Rev.2和《</w:t>
      </w:r>
      <w:r>
        <w:rPr>
          <w:rFonts w:ascii="Times New Roman" w:hAnsi="Times New Roman" w:cs="Times New Roman"/>
          <w:sz w:val="18"/>
          <w:szCs w:val="18"/>
        </w:rPr>
        <w:t>确定船舶在恶劣海况下维持操纵性的最小推进功率导则</w:t>
      </w:r>
      <w:r>
        <w:rPr>
          <w:rFonts w:hint="eastAsia" w:ascii="Times New Roman" w:hAnsi="Times New Roman" w:cs="Times New Roman"/>
          <w:sz w:val="18"/>
          <w:szCs w:val="18"/>
        </w:rPr>
        <w:t>》（MEPC.1/Circ.850/Rev.3）。</w:t>
      </w:r>
    </w:p>
    <w:p>
      <w:pPr>
        <w:pStyle w:val="19"/>
        <w:ind w:left="360" w:hanging="360" w:hangingChars="200"/>
        <w:jc w:val="both"/>
      </w:pPr>
    </w:p>
  </w:footnote>
  <w:footnote w:id="35">
    <w:p>
      <w:pPr>
        <w:spacing w:line="0" w:lineRule="atLeast"/>
        <w:ind w:left="285" w:leftChars="-4" w:hanging="293" w:hangingChars="163"/>
        <w:rPr>
          <w:rFonts w:ascii="Times New Roman" w:hAnsi="Times New Roman" w:cs="Times New Roman"/>
          <w:sz w:val="18"/>
          <w:szCs w:val="18"/>
        </w:rPr>
      </w:pPr>
      <w:r>
        <w:rPr>
          <w:rFonts w:ascii="Times New Roman" w:hAnsi="Times New Roman" w:cs="Times New Roman"/>
          <w:sz w:val="18"/>
          <w:szCs w:val="18"/>
        </w:rPr>
        <w:footnoteRef/>
      </w:r>
      <w:r>
        <w:rPr>
          <w:rFonts w:ascii="Times New Roman" w:hAnsi="Times New Roman" w:cs="Times New Roman"/>
          <w:sz w:val="18"/>
          <w:szCs w:val="18"/>
        </w:rPr>
        <w:t xml:space="preserve"> 参见《2016年船舶能效管理计划（SEEMP）编制指南》（MEPC.282(70)决议）。</w:t>
      </w:r>
    </w:p>
  </w:footnote>
  <w:footnote w:id="36">
    <w:p>
      <w:pPr>
        <w:pStyle w:val="19"/>
        <w:rPr>
          <w:color w:val="FF0000"/>
        </w:rPr>
      </w:pPr>
      <w:r>
        <w:rPr>
          <w:rStyle w:val="33"/>
          <w:color w:val="FF0000"/>
        </w:rPr>
        <w:footnoteRef/>
      </w:r>
      <w:r>
        <w:rPr>
          <w:color w:val="FF0000"/>
        </w:rPr>
        <w:t xml:space="preserve"> </w:t>
      </w:r>
      <w:r>
        <w:rPr>
          <w:rFonts w:hint="eastAsia"/>
          <w:strike/>
          <w:color w:val="FF0000"/>
        </w:rPr>
        <w:t>参</w:t>
      </w:r>
      <w:r>
        <w:rPr>
          <w:rFonts w:ascii="Times New Roman" w:hAnsi="Times New Roman"/>
          <w:strike/>
          <w:color w:val="FF0000"/>
        </w:rPr>
        <w:t>见IMO以MEPC.282(70)决议通过的《2016年船舶能效管理计划制定导则》</w:t>
      </w:r>
      <w:r>
        <w:rPr>
          <w:rFonts w:ascii="Times New Roman" w:hAnsi="Times New Roman"/>
          <w:color w:val="FF0000"/>
          <w:u w:val="single"/>
        </w:rPr>
        <w:t>参见《2016年船舶能效管理计划（SEEMP）编制指南》 (MEPC.282(70)决议)</w:t>
      </w:r>
      <w:r>
        <w:rPr>
          <w:rFonts w:hint="eastAsia"/>
          <w:color w:val="FF0000"/>
          <w:u w:val="single"/>
        </w:rPr>
        <w:t>。</w:t>
      </w:r>
    </w:p>
  </w:footnote>
  <w:footnote w:id="37">
    <w:p>
      <w:pPr>
        <w:pStyle w:val="19"/>
      </w:pPr>
      <w:r>
        <w:rPr>
          <w:rStyle w:val="33"/>
          <w:color w:val="FF0000"/>
        </w:rPr>
        <w:footnoteRef/>
      </w:r>
      <w:r>
        <w:rPr>
          <w:color w:val="FF0000"/>
        </w:rPr>
        <w:t xml:space="preserve"> </w:t>
      </w:r>
      <w:r>
        <w:rPr>
          <w:rFonts w:hint="eastAsia"/>
          <w:strike/>
          <w:color w:val="FF0000"/>
        </w:rPr>
        <w:t>参见</w:t>
      </w:r>
      <w:r>
        <w:rPr>
          <w:rFonts w:ascii="Times New Roman" w:hAnsi="Times New Roman"/>
          <w:strike/>
          <w:color w:val="FF0000"/>
        </w:rPr>
        <w:t>IMO以A.739(18)决议通过并可能经修订的《代表主管机关的组织的授权导则》，和由IMO 以A.789(19)决议通过并可能经修订的《被认可组织代表主管机关执行检验和发证的细则》</w:t>
      </w:r>
      <w:r>
        <w:rPr>
          <w:rFonts w:ascii="Times New Roman" w:hAnsi="Times New Roman"/>
          <w:color w:val="FF0000"/>
          <w:u w:val="single"/>
        </w:rPr>
        <w:t>参见IMO以MEPC.237(65)决议通过的《认可组织规则》(RO规则)，并可能经IMO</w:t>
      </w:r>
      <w:r>
        <w:rPr>
          <w:rFonts w:hint="eastAsia"/>
          <w:color w:val="FF0000"/>
          <w:u w:val="single"/>
        </w:rPr>
        <w:t>修正。</w:t>
      </w:r>
    </w:p>
  </w:footnote>
  <w:footnote w:id="38">
    <w:p>
      <w:pPr>
        <w:pStyle w:val="19"/>
      </w:pPr>
      <w:r>
        <w:rPr>
          <w:rStyle w:val="33"/>
          <w:color w:val="FF0000"/>
        </w:rPr>
        <w:footnoteRef/>
      </w:r>
      <w:r>
        <w:rPr>
          <w:color w:val="FF0000"/>
        </w:rPr>
        <w:t xml:space="preserve"> </w:t>
      </w:r>
      <w:r>
        <w:rPr>
          <w:rFonts w:hint="eastAsia"/>
          <w:color w:val="FF0000"/>
          <w:u w:val="single"/>
        </w:rPr>
        <w:t>参见《</w:t>
      </w:r>
      <w:r>
        <w:rPr>
          <w:rFonts w:ascii="Times New Roman" w:hAnsi="Times New Roman"/>
          <w:color w:val="FF0000"/>
          <w:u w:val="single"/>
        </w:rPr>
        <w:t>2017年船舶燃油消耗数据主管机关验证指南》（MEPC.292(71)</w:t>
      </w:r>
      <w:r>
        <w:rPr>
          <w:rFonts w:hint="eastAsia"/>
          <w:color w:val="FF0000"/>
          <w:u w:val="single"/>
        </w:rPr>
        <w:t>决议）</w:t>
      </w:r>
    </w:p>
  </w:footnote>
  <w:footnote w:id="39">
    <w:p>
      <w:pPr>
        <w:pStyle w:val="19"/>
        <w:rPr>
          <w:color w:val="FF0000"/>
          <w:u w:val="single"/>
        </w:rPr>
      </w:pPr>
      <w:r>
        <w:rPr>
          <w:rStyle w:val="33"/>
          <w:color w:val="FF0000"/>
        </w:rPr>
        <w:footnoteRef/>
      </w:r>
      <w:r>
        <w:rPr>
          <w:color w:val="FF0000"/>
        </w:rPr>
        <w:t xml:space="preserve"> </w:t>
      </w:r>
      <w:r>
        <w:rPr>
          <w:rFonts w:hint="eastAsia"/>
          <w:strike/>
          <w:color w:val="FF0000"/>
        </w:rPr>
        <w:t>参见</w:t>
      </w:r>
      <w:r>
        <w:rPr>
          <w:rFonts w:ascii="Times New Roman" w:hAnsi="Times New Roman"/>
          <w:strike/>
          <w:color w:val="FF0000"/>
        </w:rPr>
        <w:t>IMO以MEPC.292(71)决议通过的《2017年船舶燃油消耗数据主管机关验证导则》。</w:t>
      </w:r>
      <w:r>
        <w:rPr>
          <w:rFonts w:ascii="Times New Roman" w:hAnsi="Times New Roman"/>
          <w:color w:val="FF0000"/>
          <w:u w:val="single"/>
        </w:rPr>
        <w:t>参见《2017年船舶燃油消耗数据主管机关验证指南》（MEPC.292(71)</w:t>
      </w:r>
      <w:r>
        <w:rPr>
          <w:rFonts w:hint="eastAsia"/>
          <w:color w:val="FF0000"/>
          <w:u w:val="single"/>
        </w:rPr>
        <w:t>决议）。</w:t>
      </w:r>
    </w:p>
    <w:p>
      <w:pPr>
        <w:pStyle w:val="19"/>
        <w:rPr>
          <w:color w:val="FF0000"/>
          <w:u w:val="single"/>
        </w:rPr>
      </w:pPr>
    </w:p>
    <w:p>
      <w:pPr>
        <w:pStyle w:val="19"/>
      </w:pPr>
    </w:p>
  </w:footnote>
  <w:footnote w:id="40">
    <w:p>
      <w:pPr>
        <w:pStyle w:val="19"/>
      </w:pPr>
      <w:r>
        <w:rPr>
          <w:rStyle w:val="33"/>
          <w:strike/>
          <w:color w:val="FF0000"/>
        </w:rPr>
        <w:footnoteRef/>
      </w:r>
      <w:r>
        <w:t xml:space="preserve"> </w:t>
      </w:r>
      <w:r>
        <w:rPr>
          <w:rFonts w:hint="eastAsia"/>
          <w:strike/>
          <w:color w:val="FF0000"/>
        </w:rPr>
        <w:t>参见IMO以MEPC .293(71)决议通过的《2017年IMO船舶燃油消耗数据库开发和管理导则》。</w:t>
      </w:r>
    </w:p>
  </w:footnote>
  <w:footnote w:id="41">
    <w:p>
      <w:pPr>
        <w:pStyle w:val="19"/>
      </w:pPr>
      <w:r>
        <w:rPr>
          <w:rStyle w:val="33"/>
          <w:color w:val="FF0000"/>
        </w:rPr>
        <w:footnoteRef/>
      </w:r>
      <w:r>
        <w:rPr>
          <w:color w:val="FF0000"/>
        </w:rPr>
        <w:t xml:space="preserve"> </w:t>
      </w:r>
      <w:r>
        <w:rPr>
          <w:rFonts w:ascii="Times New Roman" w:hAnsi="Times New Roman"/>
          <w:color w:val="FF0000"/>
          <w:u w:val="single"/>
        </w:rPr>
        <w:t>年度折减系数根据船舶类别制定。该系数被定义为逐步增大，以满足《IMO船舶温室气体减排初步战略》（MEPC.304(72)决议）的目标。</w:t>
      </w:r>
    </w:p>
  </w:footnote>
  <w:footnote w:id="42">
    <w:p>
      <w:pPr>
        <w:pStyle w:val="19"/>
      </w:pPr>
      <w:r>
        <w:rPr>
          <w:rStyle w:val="33"/>
          <w:color w:val="FF0000"/>
        </w:rPr>
        <w:footnoteRef/>
      </w:r>
      <w:r>
        <w:rPr>
          <w:color w:val="FF0000"/>
        </w:rPr>
        <w:t xml:space="preserve"> </w:t>
      </w:r>
      <w:r>
        <w:rPr>
          <w:rFonts w:ascii="Times New Roman" w:hAnsi="Times New Roman"/>
          <w:color w:val="FF0000"/>
          <w:u w:val="single"/>
        </w:rPr>
        <w:t>参见《促进技术合作和改进船舶能效的相关技术转让》（MEPC.229(65)决议），和《各国政府之间关于实施防污公约附则VI第4章规定所进行的技术合作的协议样本》（MEPC.1/Circ.861通函）。</w:t>
      </w:r>
    </w:p>
  </w:footnote>
  <w:footnote w:id="43">
    <w:p>
      <w:pPr>
        <w:pStyle w:val="19"/>
      </w:pPr>
      <w:r>
        <w:rPr>
          <w:rStyle w:val="33"/>
        </w:rPr>
        <w:footnoteRef/>
      </w:r>
      <w:r>
        <w:t xml:space="preserve"> </w:t>
      </w:r>
      <w:r>
        <w:rPr>
          <w:rFonts w:ascii="Times New Roman" w:hAnsi="Times New Roman"/>
        </w:rPr>
        <w:t>参见</w:t>
      </w:r>
      <w:r>
        <w:rPr>
          <w:rFonts w:ascii="Times New Roman" w:hAnsi="Times New Roman"/>
          <w:strike/>
          <w:color w:val="FF0000"/>
        </w:rPr>
        <w:t>国际海事组织</w:t>
      </w:r>
      <w:r>
        <w:rPr>
          <w:rFonts w:ascii="Times New Roman" w:hAnsi="Times New Roman"/>
        </w:rPr>
        <w:t>A.1067(28)决议</w:t>
      </w:r>
      <w:r>
        <w:rPr>
          <w:rFonts w:ascii="Times New Roman" w:hAnsi="Times New Roman"/>
          <w:strike/>
          <w:color w:val="FF0000"/>
        </w:rPr>
        <w:t>通过的</w:t>
      </w:r>
      <w:r>
        <w:rPr>
          <w:rFonts w:ascii="Times New Roman" w:hAnsi="Times New Roman"/>
        </w:rPr>
        <w:t>《IMO成员国审核机制框架和程序》</w:t>
      </w:r>
      <w:r>
        <w:rPr>
          <w:rFonts w:hint="eastAsia"/>
        </w:rPr>
        <w:t>。</w:t>
      </w:r>
    </w:p>
  </w:footnote>
  <w:footnote w:id="44">
    <w:p>
      <w:pPr>
        <w:pStyle w:val="19"/>
      </w:pPr>
      <w:r>
        <w:rPr>
          <w:rStyle w:val="33"/>
        </w:rPr>
        <w:footnoteRef/>
      </w:r>
      <w:r>
        <w:t xml:space="preserve"> </w:t>
      </w:r>
      <w:r>
        <w:rPr>
          <w:rFonts w:ascii="Times New Roman" w:hAnsi="Times New Roman"/>
          <w:color w:val="FF0000"/>
          <w:u w:val="single"/>
        </w:rPr>
        <w:t>参见《促进技术合作和改进船舶能效的相关技术转让》（MEPC.229(65)决议），和《各国政府之间关于实施防污公约附则VI第4章规定所进行的技术合作的协议样本》（MEPC.1/Circ.861通函）。</w:t>
      </w:r>
    </w:p>
  </w:footnote>
  <w:footnote w:id="45">
    <w:p>
      <w:pPr>
        <w:pStyle w:val="19"/>
        <w:rPr>
          <w:color w:val="FF0000"/>
          <w:u w:val="single"/>
        </w:rPr>
      </w:pPr>
      <w:r>
        <w:rPr>
          <w:rStyle w:val="33"/>
          <w:color w:val="FF0000"/>
          <w:u w:val="single"/>
        </w:rPr>
        <w:footnoteRef/>
      </w:r>
      <w:r>
        <w:rPr>
          <w:color w:val="FF0000"/>
          <w:u w:val="single"/>
        </w:rPr>
        <w:t xml:space="preserve"> </w:t>
      </w:r>
      <w:r>
        <w:rPr>
          <w:rFonts w:ascii="Times New Roman" w:hAnsi="Times New Roman"/>
          <w:color w:val="FF0000"/>
          <w:szCs w:val="21"/>
          <w:u w:val="single"/>
        </w:rPr>
        <w:t>样本按《2009年为确定符合经修订的MARPOL附则VI要求的燃油取样指南》（MEPC.182(59)决议）提取。</w:t>
      </w:r>
    </w:p>
  </w:footnote>
  <w:footnote w:id="46">
    <w:p>
      <w:pPr>
        <w:pStyle w:val="19"/>
        <w:rPr>
          <w:color w:val="FF0000"/>
          <w:u w:val="single"/>
        </w:rPr>
      </w:pPr>
      <w:r>
        <w:rPr>
          <w:rStyle w:val="33"/>
          <w:color w:val="FF0000"/>
          <w:u w:val="single"/>
        </w:rPr>
        <w:footnoteRef/>
      </w:r>
      <w:r>
        <w:rPr>
          <w:color w:val="FF0000"/>
          <w:u w:val="single"/>
        </w:rPr>
        <w:t xml:space="preserve"> </w:t>
      </w:r>
      <w:r>
        <w:rPr>
          <w:rFonts w:ascii="Times New Roman" w:hAnsi="Times New Roman"/>
          <w:color w:val="FF0000"/>
          <w:szCs w:val="21"/>
          <w:u w:val="single"/>
        </w:rPr>
        <w:t>参见《2019年船上在用燃油硫含量验证船上取样指南》（MEPC.1/Circ.864/Rev.1通函）。</w:t>
      </w:r>
    </w:p>
  </w:footnote>
  <w:footnote w:id="47">
    <w:p>
      <w:pPr>
        <w:pStyle w:val="19"/>
      </w:pPr>
      <w:r>
        <w:rPr>
          <w:rStyle w:val="33"/>
          <w:color w:val="FF0000"/>
          <w:u w:val="single"/>
        </w:rPr>
        <w:footnoteRef/>
      </w:r>
      <w:r>
        <w:rPr>
          <w:color w:val="FF0000"/>
          <w:u w:val="single"/>
        </w:rPr>
        <w:t xml:space="preserve"> </w:t>
      </w:r>
      <w:r>
        <w:rPr>
          <w:rFonts w:ascii="Times New Roman" w:hAnsi="Times New Roman"/>
          <w:color w:val="FF0000"/>
          <w:szCs w:val="21"/>
          <w:u w:val="single"/>
        </w:rPr>
        <w:t>参见《2020年船上拟使用或载运的船用燃油船上取样指南》（MEPC.1/Circ.889通函）。</w:t>
      </w:r>
    </w:p>
  </w:footnote>
  <w:footnote w:id="48">
    <w:p>
      <w:pPr>
        <w:pStyle w:val="19"/>
        <w:jc w:val="both"/>
        <w:rPr>
          <w:rFonts w:ascii="Times New Roman" w:hAnsi="Times New Roman"/>
          <w:color w:val="FF0000"/>
          <w:szCs w:val="21"/>
          <w:u w:val="single"/>
        </w:rPr>
      </w:pPr>
      <w:r>
        <w:rPr>
          <w:rFonts w:ascii="Times New Roman" w:hAnsi="Times New Roman"/>
          <w:color w:val="FF0000"/>
          <w:szCs w:val="21"/>
          <w:u w:val="single"/>
        </w:rPr>
        <w:footnoteRef/>
      </w:r>
      <w:r>
        <w:rPr>
          <w:rFonts w:ascii="Times New Roman" w:hAnsi="Times New Roman"/>
          <w:color w:val="FF0000"/>
          <w:szCs w:val="21"/>
          <w:u w:val="single"/>
        </w:rPr>
        <w:t xml:space="preserve"> 实验室开展ISO 8754:2003硫含量试验的能力应按ISO/IEC 17025:2017或等效标准获得认可。</w:t>
      </w:r>
    </w:p>
  </w:footnote>
  <w:footnote w:id="49">
    <w:p>
      <w:pPr>
        <w:pStyle w:val="19"/>
        <w:jc w:val="both"/>
        <w:rPr>
          <w:color w:val="FF0000"/>
          <w:u w:val="single"/>
        </w:rPr>
      </w:pPr>
      <w:r>
        <w:rPr>
          <w:rFonts w:ascii="Times New Roman" w:hAnsi="Times New Roman"/>
          <w:color w:val="FF0000"/>
          <w:szCs w:val="21"/>
          <w:u w:val="single"/>
        </w:rPr>
        <w:footnoteRef/>
      </w:r>
      <w:r>
        <w:rPr>
          <w:rFonts w:ascii="Times New Roman" w:hAnsi="Times New Roman"/>
          <w:color w:val="FF0000"/>
          <w:szCs w:val="21"/>
          <w:u w:val="single"/>
        </w:rPr>
        <w:t xml:space="preserve"> 可重复性（r）按ISO 4259:2017-2计算，定义见所使用的试验方法。</w:t>
      </w:r>
    </w:p>
  </w:footnote>
  <w:footnote w:id="50">
    <w:p>
      <w:pPr>
        <w:pStyle w:val="19"/>
        <w:rPr>
          <w:rFonts w:ascii="Times New Roman" w:hAnsi="Times New Roman"/>
          <w:color w:val="FF0000"/>
          <w:szCs w:val="21"/>
          <w:u w:val="single"/>
        </w:rPr>
      </w:pPr>
      <w:r>
        <w:rPr>
          <w:rFonts w:ascii="Times New Roman" w:hAnsi="Times New Roman"/>
          <w:color w:val="FF0000"/>
          <w:szCs w:val="21"/>
          <w:u w:val="single"/>
        </w:rPr>
        <w:footnoteRef/>
      </w:r>
      <w:r>
        <w:rPr>
          <w:rFonts w:ascii="Times New Roman" w:hAnsi="Times New Roman"/>
          <w:color w:val="FF0000"/>
          <w:szCs w:val="21"/>
          <w:u w:val="single"/>
        </w:rPr>
        <w:t xml:space="preserve"> 实验室开展ISO 8754:2003硫含量试验的能力应按ISO/IEC 17025:2017或等效标准获得认可。</w:t>
      </w:r>
    </w:p>
  </w:footnote>
  <w:footnote w:id="51">
    <w:p>
      <w:pPr>
        <w:pStyle w:val="19"/>
        <w:rPr>
          <w:rFonts w:ascii="Times New Roman" w:hAnsi="Times New Roman"/>
          <w:color w:val="FF0000"/>
          <w:szCs w:val="21"/>
          <w:u w:val="single"/>
        </w:rPr>
      </w:pPr>
      <w:r>
        <w:rPr>
          <w:rFonts w:ascii="Times New Roman" w:hAnsi="Times New Roman"/>
          <w:color w:val="FF0000"/>
          <w:szCs w:val="21"/>
          <w:u w:val="single"/>
        </w:rPr>
        <w:footnoteRef/>
      </w:r>
      <w:r>
        <w:rPr>
          <w:rFonts w:ascii="Times New Roman" w:hAnsi="Times New Roman"/>
          <w:color w:val="FF0000"/>
          <w:szCs w:val="21"/>
          <w:u w:val="single"/>
        </w:rPr>
        <w:t xml:space="preserve"> 可重复性（r）按ISO 4259:2017-2计算，定义见所使用的试验方法。</w:t>
      </w:r>
    </w:p>
  </w:footnote>
  <w:footnote w:id="52">
    <w:p>
      <w:pPr>
        <w:pStyle w:val="19"/>
        <w:rPr>
          <w:color w:val="FF0000"/>
          <w:u w:val="single"/>
        </w:rPr>
      </w:pPr>
      <w:r>
        <w:rPr>
          <w:rFonts w:ascii="Times New Roman" w:hAnsi="Times New Roman"/>
          <w:color w:val="FF0000"/>
          <w:szCs w:val="21"/>
          <w:u w:val="single"/>
        </w:rPr>
        <w:footnoteRef/>
      </w:r>
      <w:r>
        <w:rPr>
          <w:rFonts w:ascii="Times New Roman" w:hAnsi="Times New Roman"/>
          <w:color w:val="FF0000"/>
          <w:szCs w:val="21"/>
          <w:u w:val="single"/>
        </w:rPr>
        <w:t xml:space="preserve"> 再现性（R）按ISO 4259:2017-2计算，定义见所使用的试验方法。</w:t>
      </w:r>
    </w:p>
  </w:footnote>
  <w:footnote w:id="53">
    <w:p>
      <w:pPr>
        <w:pStyle w:val="19"/>
        <w:ind w:left="283" w:hanging="282" w:hangingChars="157"/>
        <w:jc w:val="both"/>
        <w:rPr>
          <w:rFonts w:ascii="Times New Roman" w:hAnsi="Times New Roman"/>
          <w:color w:val="FF0000"/>
          <w:u w:val="single"/>
        </w:rPr>
      </w:pPr>
      <w:r>
        <w:rPr>
          <w:rFonts w:ascii="Times New Roman" w:hAnsi="Times New Roman"/>
          <w:color w:val="FF0000"/>
          <w:u w:val="single"/>
        </w:rPr>
        <w:footnoteRef/>
      </w:r>
      <w:r>
        <w:rPr>
          <w:rFonts w:ascii="Times New Roman" w:hAnsi="Times New Roman"/>
          <w:color w:val="FF0000"/>
          <w:u w:val="single"/>
        </w:rPr>
        <w:t xml:space="preserve"> 由公司或其他实体进行的试样结果在</w:t>
      </w:r>
      <w:r>
        <w:rPr>
          <w:rFonts w:ascii="Times New Roman" w:hAnsi="Times New Roman"/>
          <w:color w:val="FF0000"/>
          <w:szCs w:val="21"/>
          <w:u w:val="single"/>
        </w:rPr>
        <w:t>MARPOL过程</w:t>
      </w:r>
      <w:r>
        <w:rPr>
          <w:rFonts w:ascii="Times New Roman" w:hAnsi="Times New Roman"/>
          <w:color w:val="FF0000"/>
          <w:u w:val="single"/>
        </w:rPr>
        <w:t>之外，因此应按</w:t>
      </w:r>
      <w:r>
        <w:rPr>
          <w:rFonts w:ascii="Times New Roman" w:hAnsi="Times New Roman"/>
          <w:color w:val="FF0000"/>
          <w:szCs w:val="21"/>
          <w:u w:val="single"/>
        </w:rPr>
        <w:t>ISO 4259:2017-2关于收到提取样本规定的方法考虑。</w:t>
      </w:r>
    </w:p>
  </w:footnote>
  <w:footnote w:id="54">
    <w:p>
      <w:pPr>
        <w:pStyle w:val="19"/>
      </w:pPr>
      <w:r>
        <w:rPr>
          <w:rFonts w:ascii="Times New Roman" w:hAnsi="Times New Roman"/>
        </w:rPr>
        <w:footnoteRef/>
      </w:r>
      <w:r>
        <w:rPr>
          <w:rFonts w:ascii="Times New Roman" w:hAnsi="Times New Roman"/>
        </w:rPr>
        <w:t xml:space="preserve"> 总吨应按1969年国际船舶吨位丈量公约计算。</w:t>
      </w:r>
    </w:p>
  </w:footnote>
  <w:footnote w:id="55">
    <w:p>
      <w:pPr>
        <w:pStyle w:val="19"/>
        <w:jc w:val="both"/>
        <w:rPr>
          <w:rFonts w:ascii="Times New Roman" w:hAnsi="Times New Roman"/>
        </w:rPr>
      </w:pPr>
      <w:r>
        <w:rPr>
          <w:rFonts w:ascii="Times New Roman" w:hAnsi="Times New Roman"/>
        </w:rPr>
        <w:footnoteRef/>
      </w:r>
      <w:r>
        <w:rPr>
          <w:rFonts w:ascii="Times New Roman" w:hAnsi="Times New Roman"/>
        </w:rPr>
        <w:t xml:space="preserve"> 净吨应按1969年国际船舶吨位丈量公约计算。如不适用，注明“N/A”。</w:t>
      </w:r>
    </w:p>
  </w:footnote>
  <w:footnote w:id="56">
    <w:p>
      <w:pPr>
        <w:pStyle w:val="19"/>
        <w:jc w:val="both"/>
        <w:rPr>
          <w:rFonts w:ascii="Times New Roman" w:hAnsi="Times New Roman"/>
        </w:rPr>
      </w:pPr>
      <w:r>
        <w:rPr>
          <w:rFonts w:ascii="Times New Roman" w:hAnsi="Times New Roman"/>
        </w:rPr>
        <w:footnoteRef/>
      </w:r>
      <w:r>
        <w:rPr>
          <w:rFonts w:ascii="Times New Roman" w:hAnsi="Times New Roman"/>
        </w:rPr>
        <w:t xml:space="preserve"> DWT系指船舶在比重为1025 kg/m3的海水中，夏季载重吃水的排水量与该船空船排水量之差，以吨计。夏季载重吃水应取主管机关或经其授权的组织批准的稳性手册中核准的最大夏季吃水。如不适用，注明“N/A”。</w:t>
      </w:r>
    </w:p>
  </w:footnote>
  <w:footnote w:id="57">
    <w:p>
      <w:pPr>
        <w:pStyle w:val="19"/>
        <w:jc w:val="both"/>
        <w:rPr>
          <w:rFonts w:ascii="Times New Roman" w:hAnsi="Times New Roman"/>
        </w:rPr>
      </w:pPr>
      <w:r>
        <w:rPr>
          <w:rFonts w:ascii="Times New Roman" w:hAnsi="Times New Roman"/>
        </w:rPr>
        <w:footnoteRef/>
      </w:r>
      <w:r>
        <w:rPr>
          <w:rFonts w:ascii="Times New Roman" w:hAnsi="Times New Roman"/>
        </w:rPr>
        <w:t xml:space="preserve"> 额定功率系指发动机铭牌上标明的最大持续额定功率。</w:t>
      </w:r>
    </w:p>
  </w:footnote>
  <w:footnote w:id="58">
    <w:p>
      <w:pPr>
        <w:pStyle w:val="19"/>
        <w:jc w:val="both"/>
        <w:rPr>
          <w:rFonts w:ascii="Times New Roman" w:hAnsi="Times New Roman"/>
        </w:rPr>
      </w:pPr>
      <w:r>
        <w:rPr>
          <w:rFonts w:ascii="Times New Roman" w:hAnsi="Times New Roman"/>
        </w:rPr>
        <w:footnoteRef/>
      </w:r>
      <w:r>
        <w:rPr>
          <w:rFonts w:ascii="Times New Roman" w:hAnsi="Times New Roman"/>
        </w:rPr>
        <w:t xml:space="preserve"> 冰级应与《国际极地水域操作船舶规则（极地规则）》（MEPC.264(68)和MSC.385(94)）中的定义一致。如不适用，注明“N/A”。</w:t>
      </w:r>
    </w:p>
  </w:footnote>
  <w:footnote w:id="59">
    <w:p>
      <w:pPr>
        <w:pStyle w:val="19"/>
        <w:rPr>
          <w:rFonts w:ascii="Times New Roman" w:hAnsi="Times New Roman"/>
        </w:rPr>
      </w:pPr>
      <w:r>
        <w:rPr>
          <w:rFonts w:ascii="Times New Roman" w:hAnsi="Times New Roman"/>
        </w:rPr>
        <w:footnoteRef/>
      </w:r>
      <w:r>
        <w:rPr>
          <w:rFonts w:hint="eastAsia" w:ascii="Times New Roman" w:hAnsi="Times New Roman"/>
        </w:rPr>
        <w:t>参见</w:t>
      </w:r>
      <w:r>
        <w:rPr>
          <w:rFonts w:ascii="Times New Roman" w:hAnsi="Times New Roman"/>
        </w:rPr>
        <w:t>IMO以MEPC.195(61)决议通过的《船舶防污底系统检验和发证导则》。</w:t>
      </w:r>
    </w:p>
  </w:footnote>
  <w:footnote w:id="60">
    <w:p>
      <w:pPr>
        <w:pStyle w:val="19"/>
        <w:rPr>
          <w:rFonts w:ascii="Times New Roman" w:hAnsi="Times New Roman"/>
        </w:rPr>
      </w:pPr>
      <w:r>
        <w:rPr>
          <w:rFonts w:ascii="Times New Roman" w:hAnsi="Times New Roman"/>
        </w:rPr>
        <w:footnoteRef/>
      </w:r>
      <w:r>
        <w:rPr>
          <w:rFonts w:hint="eastAsia" w:ascii="Times New Roman" w:hAnsi="Times New Roman"/>
        </w:rPr>
        <w:t>参见</w:t>
      </w:r>
      <w:r>
        <w:rPr>
          <w:rFonts w:ascii="Times New Roman" w:hAnsi="Times New Roman"/>
        </w:rPr>
        <w:t>IMO以A.739(18)</w:t>
      </w:r>
      <w:r>
        <w:rPr>
          <w:rFonts w:hint="eastAsia" w:ascii="Times New Roman" w:hAnsi="Times New Roman"/>
        </w:rPr>
        <w:t>决议通过的可能经修正的导则和以</w:t>
      </w:r>
      <w:r>
        <w:rPr>
          <w:rFonts w:ascii="Times New Roman" w:hAnsi="Times New Roman"/>
        </w:rPr>
        <w:t>A.789(19)</w:t>
      </w:r>
      <w:r>
        <w:rPr>
          <w:rFonts w:hint="eastAsia" w:ascii="Times New Roman" w:hAnsi="Times New Roman"/>
        </w:rPr>
        <w:t>决议通过的可能经修正的细则。</w:t>
      </w:r>
    </w:p>
  </w:footnote>
  <w:footnote w:id="61">
    <w:p>
      <w:pPr>
        <w:pStyle w:val="19"/>
        <w:rPr>
          <w:u w:val="single"/>
        </w:rPr>
      </w:pPr>
      <w:r>
        <w:rPr>
          <w:rStyle w:val="33"/>
          <w:color w:val="FF0000"/>
          <w:u w:val="single"/>
        </w:rPr>
        <w:footnoteRef/>
      </w:r>
      <w:r>
        <w:rPr>
          <w:color w:val="FF0000"/>
          <w:u w:val="single"/>
        </w:rPr>
        <w:t xml:space="preserve"> </w:t>
      </w:r>
      <w:r>
        <w:rPr>
          <w:rFonts w:hint="eastAsia"/>
          <w:color w:val="FF0000"/>
          <w:u w:val="single"/>
        </w:rPr>
        <w:t>参见MEPC.331（76）决议通过的国际防污底系统证书格式。</w:t>
      </w:r>
    </w:p>
  </w:footnote>
  <w:footnote w:id="62">
    <w:p>
      <w:pPr>
        <w:pStyle w:val="19"/>
        <w:rPr>
          <w:rFonts w:ascii="Times New Roman" w:hAnsi="Times New Roman"/>
        </w:rPr>
      </w:pPr>
      <w:r>
        <w:rPr>
          <w:rStyle w:val="33"/>
        </w:rPr>
        <w:footnoteRef/>
      </w:r>
      <w:r>
        <w:rPr>
          <w:rFonts w:hint="eastAsia"/>
        </w:rPr>
        <w:t xml:space="preserve"> </w:t>
      </w:r>
      <w:r>
        <w:rPr>
          <w:rFonts w:ascii="Times New Roman" w:hAnsi="Times New Roman"/>
        </w:rPr>
        <w:t>参见IMO以BWM.2/Circ.66</w:t>
      </w:r>
      <w:r>
        <w:rPr>
          <w:rFonts w:ascii="Times New Roman" w:hAnsi="Times New Roman"/>
          <w:color w:val="FF0000"/>
          <w:u w:val="single"/>
        </w:rPr>
        <w:t>/Rev.2</w:t>
      </w:r>
      <w:r>
        <w:rPr>
          <w:rFonts w:ascii="Times New Roman" w:hAnsi="Times New Roman"/>
        </w:rPr>
        <w:t>发布的《</w:t>
      </w:r>
      <w:r>
        <w:rPr>
          <w:rFonts w:ascii="Times New Roman" w:hAnsi="Times New Roman"/>
          <w:strike/>
          <w:color w:val="FF0000"/>
        </w:rPr>
        <w:t>关于</w:t>
      </w:r>
      <w:r>
        <w:rPr>
          <w:rFonts w:ascii="Times New Roman" w:hAnsi="Times New Roman"/>
        </w:rPr>
        <w:t>压载水公约</w:t>
      </w:r>
      <w:r>
        <w:rPr>
          <w:rFonts w:ascii="Times New Roman" w:hAnsi="Times New Roman"/>
          <w:strike/>
          <w:color w:val="FF0000"/>
        </w:rPr>
        <w:t>附录I（IBWMC证书格式）中“安装日期”</w:t>
      </w:r>
      <w:r>
        <w:rPr>
          <w:rFonts w:ascii="Times New Roman" w:hAnsi="Times New Roman"/>
        </w:rPr>
        <w:t>的统一解释》。</w:t>
      </w:r>
    </w:p>
  </w:footnote>
  <w:footnote w:id="63">
    <w:p>
      <w:pPr>
        <w:pStyle w:val="19"/>
      </w:pPr>
      <w:r>
        <w:rPr>
          <w:rStyle w:val="33"/>
        </w:rPr>
        <w:footnoteRef/>
      </w:r>
      <w:r>
        <w:t xml:space="preserve"> </w:t>
      </w:r>
      <w:r>
        <w:rPr>
          <w:rFonts w:ascii="Times New Roman" w:hAnsi="Times New Roman"/>
        </w:rPr>
        <w:t>参见IMO以MEPC.300(72)决议通过的《压载水管理系统认可规则》（BWMS规则）。</w:t>
      </w:r>
    </w:p>
  </w:footnote>
  <w:footnote w:id="64">
    <w:p>
      <w:pPr>
        <w:pStyle w:val="19"/>
      </w:pPr>
      <w:r>
        <w:rPr>
          <w:rStyle w:val="33"/>
        </w:rPr>
        <w:footnoteRef/>
      </w:r>
      <w:r>
        <w:rPr>
          <w:rFonts w:hint="eastAsia"/>
        </w:rPr>
        <w:t xml:space="preserve"> 参见</w:t>
      </w:r>
      <w:r>
        <w:rPr>
          <w:rFonts w:ascii="Times New Roman" w:hAnsi="Times New Roman"/>
        </w:rPr>
        <w:t>MEPC.125(53)、MEPC.174(58) 或 MEPC.279(70)决</w:t>
      </w:r>
      <w:r>
        <w:rPr>
          <w:rFonts w:hint="eastAsia"/>
        </w:rPr>
        <w:t>议（如适合）。</w:t>
      </w:r>
    </w:p>
  </w:footnote>
  <w:footnote w:id="65">
    <w:p>
      <w:pPr>
        <w:pStyle w:val="19"/>
      </w:pPr>
      <w:r>
        <w:rPr>
          <w:rStyle w:val="33"/>
        </w:rPr>
        <w:footnoteRef/>
      </w:r>
      <w:r>
        <w:rPr>
          <w:rFonts w:hint="eastAsia"/>
        </w:rPr>
        <w:t xml:space="preserve"> 参</w:t>
      </w:r>
      <w:r>
        <w:rPr>
          <w:rFonts w:ascii="Times New Roman" w:hAnsi="Times New Roman"/>
        </w:rPr>
        <w:t>见IMO以MEPC.169(57)决议通过的《使用活性物质的压载水管理系统批准程序》（G9</w:t>
      </w:r>
      <w:r>
        <w:rPr>
          <w:rFonts w:hint="eastAsia"/>
        </w:rPr>
        <w:t>）。</w:t>
      </w:r>
    </w:p>
  </w:footnote>
  <w:footnote w:id="66">
    <w:p>
      <w:pPr>
        <w:pStyle w:val="19"/>
        <w:rPr>
          <w:color w:val="FF0000"/>
        </w:rPr>
      </w:pPr>
      <w:r>
        <w:rPr>
          <w:rStyle w:val="33"/>
          <w:color w:val="FF0000"/>
        </w:rPr>
        <w:footnoteRef/>
      </w:r>
      <w:r>
        <w:rPr>
          <w:color w:val="FF0000"/>
        </w:rPr>
        <w:t xml:space="preserve"> </w:t>
      </w:r>
      <w:r>
        <w:rPr>
          <w:rFonts w:ascii="Times New Roman" w:hAnsi="Times New Roman"/>
          <w:color w:val="FF0000"/>
          <w:u w:val="single"/>
        </w:rPr>
        <w:t>参见经修订的《2020年压载水管理系统调试指南》</w:t>
      </w:r>
      <w:r>
        <w:rPr>
          <w:rFonts w:ascii="Times New Roman" w:hAnsi="Times New Roman"/>
          <w:bCs/>
          <w:color w:val="FF0000"/>
          <w:szCs w:val="21"/>
          <w:u w:val="single"/>
        </w:rPr>
        <w:t>（BWM.2/Circ.70/Rev.1通函）</w:t>
      </w:r>
      <w:r>
        <w:rPr>
          <w:rFonts w:ascii="Times New Roman" w:hAnsi="Times New Roman"/>
          <w:color w:val="FF0000"/>
          <w:u w:val="singl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C9269"/>
    <w:multiLevelType w:val="multilevel"/>
    <w:tmpl w:val="888C9269"/>
    <w:lvl w:ilvl="0" w:tentative="0">
      <w:start w:val="1"/>
      <w:numFmt w:val="decimal"/>
      <w:pStyle w:val="38"/>
      <w:lvlText w:val="第%1条"/>
      <w:lvlJc w:val="left"/>
      <w:pPr>
        <w:tabs>
          <w:tab w:val="left" w:pos="720"/>
        </w:tabs>
        <w:ind w:left="720" w:hanging="720"/>
      </w:pPr>
      <w:rPr>
        <w:rFonts w:cs="Times New Roman"/>
        <w:b/>
        <w:bCs/>
      </w:rPr>
    </w:lvl>
    <w:lvl w:ilvl="1" w:tentative="0">
      <w:start w:val="44"/>
      <w:numFmt w:val="decimal"/>
      <w:lvlText w:val="第%2条"/>
      <w:lvlJc w:val="left"/>
      <w:pPr>
        <w:tabs>
          <w:tab w:val="left" w:pos="1470"/>
        </w:tabs>
        <w:ind w:left="1470" w:hanging="1050"/>
      </w:pPr>
      <w:rPr>
        <w:rFonts w:cs="Times New Roman"/>
      </w:rPr>
    </w:lvl>
    <w:lvl w:ilvl="2" w:tentative="0">
      <w:start w:val="2"/>
      <w:numFmt w:val="decimal"/>
      <w:lvlText w:val="%3"/>
      <w:lvlJc w:val="left"/>
      <w:pPr>
        <w:tabs>
          <w:tab w:val="left" w:pos="1200"/>
        </w:tabs>
        <w:ind w:left="1200" w:hanging="360"/>
      </w:pPr>
      <w:rPr>
        <w:rFonts w:cs="Times New Roman"/>
        <w:sz w:val="21"/>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CFAB383A"/>
    <w:multiLevelType w:val="singleLevel"/>
    <w:tmpl w:val="CFAB383A"/>
    <w:lvl w:ilvl="0" w:tentative="0">
      <w:start w:val="5"/>
      <w:numFmt w:val="decimal"/>
      <w:suff w:val="space"/>
      <w:lvlText w:val="第%1篇"/>
      <w:lvlJc w:val="left"/>
    </w:lvl>
  </w:abstractNum>
  <w:abstractNum w:abstractNumId="2">
    <w:nsid w:val="16D8FADC"/>
    <w:multiLevelType w:val="singleLevel"/>
    <w:tmpl w:val="16D8FADC"/>
    <w:lvl w:ilvl="0" w:tentative="0">
      <w:start w:val="9"/>
      <w:numFmt w:val="decimal"/>
      <w:suff w:val="space"/>
      <w:lvlText w:val="第%1章"/>
      <w:lvlJc w:val="left"/>
    </w:lvl>
  </w:abstractNum>
  <w:abstractNum w:abstractNumId="3">
    <w:nsid w:val="3775369B"/>
    <w:multiLevelType w:val="multilevel"/>
    <w:tmpl w:val="3775369B"/>
    <w:lvl w:ilvl="0" w:tentative="0">
      <w:start w:val="1"/>
      <w:numFmt w:val="bullet"/>
      <w:lvlText w:val="-"/>
      <w:lvlJc w:val="left"/>
      <w:pPr>
        <w:ind w:left="780" w:hanging="360"/>
      </w:pPr>
      <w:rPr>
        <w:rFonts w:hint="default" w:ascii="Times New Roman" w:hAnsi="Times New Roman" w:eastAsia="宋体" w:cs="Times New Roman"/>
        <w:b w:val="0"/>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numFmt w:val="decimalEnclosedCircleChinese"/>
    <w:numRestart w:val="eachPage"/>
    <w:footnote w:id="134"/>
    <w:footnote w:id="135"/>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mYWQwMWJkNGNiMzhiZjZiNThkYzAxMzVjOTgxZjMifQ=="/>
  </w:docVars>
  <w:rsids>
    <w:rsidRoot w:val="38960D0F"/>
    <w:rsid w:val="00001E48"/>
    <w:rsid w:val="00017766"/>
    <w:rsid w:val="000200C4"/>
    <w:rsid w:val="00021D9E"/>
    <w:rsid w:val="000501DB"/>
    <w:rsid w:val="0006076D"/>
    <w:rsid w:val="000872B5"/>
    <w:rsid w:val="0009374E"/>
    <w:rsid w:val="000D00BD"/>
    <w:rsid w:val="0011435C"/>
    <w:rsid w:val="0014297F"/>
    <w:rsid w:val="00154E75"/>
    <w:rsid w:val="00190BA1"/>
    <w:rsid w:val="001B484E"/>
    <w:rsid w:val="001E3D22"/>
    <w:rsid w:val="001E5A6E"/>
    <w:rsid w:val="001F303B"/>
    <w:rsid w:val="001F7A85"/>
    <w:rsid w:val="00237C34"/>
    <w:rsid w:val="00243632"/>
    <w:rsid w:val="00280D97"/>
    <w:rsid w:val="00292FF1"/>
    <w:rsid w:val="00293F79"/>
    <w:rsid w:val="002D2B7C"/>
    <w:rsid w:val="002D3D99"/>
    <w:rsid w:val="00334839"/>
    <w:rsid w:val="00341B11"/>
    <w:rsid w:val="003434F3"/>
    <w:rsid w:val="00353DE3"/>
    <w:rsid w:val="003B47FA"/>
    <w:rsid w:val="003B6E85"/>
    <w:rsid w:val="003B7B97"/>
    <w:rsid w:val="004008A3"/>
    <w:rsid w:val="0040607A"/>
    <w:rsid w:val="00425E8F"/>
    <w:rsid w:val="004527E4"/>
    <w:rsid w:val="004604E8"/>
    <w:rsid w:val="00484CB5"/>
    <w:rsid w:val="00487FC0"/>
    <w:rsid w:val="004908C7"/>
    <w:rsid w:val="00493D3A"/>
    <w:rsid w:val="004B005F"/>
    <w:rsid w:val="004C6B72"/>
    <w:rsid w:val="004D09A2"/>
    <w:rsid w:val="004F4824"/>
    <w:rsid w:val="0050231F"/>
    <w:rsid w:val="00524980"/>
    <w:rsid w:val="00527C20"/>
    <w:rsid w:val="005333E9"/>
    <w:rsid w:val="00541074"/>
    <w:rsid w:val="00554016"/>
    <w:rsid w:val="005A08EF"/>
    <w:rsid w:val="005B6A5F"/>
    <w:rsid w:val="005C34FF"/>
    <w:rsid w:val="005E6B6E"/>
    <w:rsid w:val="005F3D6E"/>
    <w:rsid w:val="00604E74"/>
    <w:rsid w:val="00605B3D"/>
    <w:rsid w:val="00620C8A"/>
    <w:rsid w:val="00691914"/>
    <w:rsid w:val="0069600F"/>
    <w:rsid w:val="006C1F4A"/>
    <w:rsid w:val="006D2F19"/>
    <w:rsid w:val="00721346"/>
    <w:rsid w:val="00724819"/>
    <w:rsid w:val="00776F5F"/>
    <w:rsid w:val="00794A81"/>
    <w:rsid w:val="007B11A9"/>
    <w:rsid w:val="007B5AB3"/>
    <w:rsid w:val="007B60E3"/>
    <w:rsid w:val="007B7BEF"/>
    <w:rsid w:val="007D5E55"/>
    <w:rsid w:val="007E6030"/>
    <w:rsid w:val="007F1AA0"/>
    <w:rsid w:val="00801306"/>
    <w:rsid w:val="00803F16"/>
    <w:rsid w:val="00842AA0"/>
    <w:rsid w:val="00862D71"/>
    <w:rsid w:val="008A2F85"/>
    <w:rsid w:val="008A4BB6"/>
    <w:rsid w:val="008D312D"/>
    <w:rsid w:val="008F0DC8"/>
    <w:rsid w:val="009103A9"/>
    <w:rsid w:val="00966040"/>
    <w:rsid w:val="009710BD"/>
    <w:rsid w:val="009942B3"/>
    <w:rsid w:val="009A631A"/>
    <w:rsid w:val="009E2CD8"/>
    <w:rsid w:val="00A21A34"/>
    <w:rsid w:val="00A50BCD"/>
    <w:rsid w:val="00A5747A"/>
    <w:rsid w:val="00A876A8"/>
    <w:rsid w:val="00A91050"/>
    <w:rsid w:val="00A92BA1"/>
    <w:rsid w:val="00AA2E23"/>
    <w:rsid w:val="00AA4E91"/>
    <w:rsid w:val="00AB564D"/>
    <w:rsid w:val="00AB6CAE"/>
    <w:rsid w:val="00AC607B"/>
    <w:rsid w:val="00AD0461"/>
    <w:rsid w:val="00AD1CAD"/>
    <w:rsid w:val="00B07AD0"/>
    <w:rsid w:val="00B47DD0"/>
    <w:rsid w:val="00B702BF"/>
    <w:rsid w:val="00B71B06"/>
    <w:rsid w:val="00BB1012"/>
    <w:rsid w:val="00BE212C"/>
    <w:rsid w:val="00BE72E2"/>
    <w:rsid w:val="00C13154"/>
    <w:rsid w:val="00C33B1A"/>
    <w:rsid w:val="00C361F2"/>
    <w:rsid w:val="00C4338A"/>
    <w:rsid w:val="00C54B6C"/>
    <w:rsid w:val="00C62196"/>
    <w:rsid w:val="00CC44D8"/>
    <w:rsid w:val="00CC5A5E"/>
    <w:rsid w:val="00CD2176"/>
    <w:rsid w:val="00D1210B"/>
    <w:rsid w:val="00D21CA0"/>
    <w:rsid w:val="00D26DF1"/>
    <w:rsid w:val="00D60A01"/>
    <w:rsid w:val="00D72296"/>
    <w:rsid w:val="00D96FA7"/>
    <w:rsid w:val="00DA1667"/>
    <w:rsid w:val="00DB465E"/>
    <w:rsid w:val="00DD564D"/>
    <w:rsid w:val="00DD61A1"/>
    <w:rsid w:val="00DD721F"/>
    <w:rsid w:val="00E106D8"/>
    <w:rsid w:val="00E16991"/>
    <w:rsid w:val="00E23751"/>
    <w:rsid w:val="00E23E98"/>
    <w:rsid w:val="00E37232"/>
    <w:rsid w:val="00E7384C"/>
    <w:rsid w:val="00E77EFC"/>
    <w:rsid w:val="00E837A3"/>
    <w:rsid w:val="00E84452"/>
    <w:rsid w:val="00EA0E03"/>
    <w:rsid w:val="00EA4346"/>
    <w:rsid w:val="00EB7E19"/>
    <w:rsid w:val="00EC0BFE"/>
    <w:rsid w:val="00ED3CF0"/>
    <w:rsid w:val="00EE3857"/>
    <w:rsid w:val="00F032CE"/>
    <w:rsid w:val="00F12457"/>
    <w:rsid w:val="00F165E9"/>
    <w:rsid w:val="00F7474E"/>
    <w:rsid w:val="00F808CF"/>
    <w:rsid w:val="00F958E0"/>
    <w:rsid w:val="00F9730E"/>
    <w:rsid w:val="00FA65B8"/>
    <w:rsid w:val="00FB0D3E"/>
    <w:rsid w:val="00FB748C"/>
    <w:rsid w:val="00FB7FC9"/>
    <w:rsid w:val="00FD016F"/>
    <w:rsid w:val="00FD34E3"/>
    <w:rsid w:val="00FD5CA1"/>
    <w:rsid w:val="00FE0DF4"/>
    <w:rsid w:val="00FF4F23"/>
    <w:rsid w:val="00FF71F8"/>
    <w:rsid w:val="017D429F"/>
    <w:rsid w:val="01A45412"/>
    <w:rsid w:val="048F6FEA"/>
    <w:rsid w:val="055C7D5A"/>
    <w:rsid w:val="0A6F7CFB"/>
    <w:rsid w:val="0AC96A33"/>
    <w:rsid w:val="0BE43C0F"/>
    <w:rsid w:val="0D16014B"/>
    <w:rsid w:val="0DF43162"/>
    <w:rsid w:val="11734C59"/>
    <w:rsid w:val="131B3677"/>
    <w:rsid w:val="15EF7E7A"/>
    <w:rsid w:val="1B6B30A4"/>
    <w:rsid w:val="1FAF238F"/>
    <w:rsid w:val="24455956"/>
    <w:rsid w:val="26662273"/>
    <w:rsid w:val="289B1686"/>
    <w:rsid w:val="29700685"/>
    <w:rsid w:val="2DE87AC5"/>
    <w:rsid w:val="30DC0C0D"/>
    <w:rsid w:val="368F1DC6"/>
    <w:rsid w:val="38960D0F"/>
    <w:rsid w:val="39937ADD"/>
    <w:rsid w:val="3BE666BD"/>
    <w:rsid w:val="3D690F5C"/>
    <w:rsid w:val="497F3CA1"/>
    <w:rsid w:val="4DA34316"/>
    <w:rsid w:val="4EDC240D"/>
    <w:rsid w:val="50A72BE3"/>
    <w:rsid w:val="53F23D4C"/>
    <w:rsid w:val="53F52401"/>
    <w:rsid w:val="58076B40"/>
    <w:rsid w:val="58BF7AD7"/>
    <w:rsid w:val="59D92492"/>
    <w:rsid w:val="5A88125A"/>
    <w:rsid w:val="5B1A4DC6"/>
    <w:rsid w:val="5EB75AC5"/>
    <w:rsid w:val="5FB42E6D"/>
    <w:rsid w:val="620E6F15"/>
    <w:rsid w:val="62AC2D65"/>
    <w:rsid w:val="63BE2530"/>
    <w:rsid w:val="66C73A5E"/>
    <w:rsid w:val="66CE3BBF"/>
    <w:rsid w:val="6B7B37DC"/>
    <w:rsid w:val="71282FAF"/>
    <w:rsid w:val="722315C4"/>
    <w:rsid w:val="73587287"/>
    <w:rsid w:val="74F10360"/>
    <w:rsid w:val="7EBA5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3"/>
    <w:qFormat/>
    <w:uiPriority w:val="9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44"/>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szCs w:val="22"/>
    </w:rPr>
  </w:style>
  <w:style w:type="paragraph" w:styleId="5">
    <w:name w:val="annotation text"/>
    <w:basedOn w:val="1"/>
    <w:link w:val="45"/>
    <w:qFormat/>
    <w:uiPriority w:val="0"/>
    <w:pPr>
      <w:jc w:val="left"/>
    </w:pPr>
    <w:rPr>
      <w:rFonts w:ascii="Times New Roman" w:hAnsi="Times New Roman" w:eastAsia="宋体" w:cs="Times New Roman"/>
    </w:rPr>
  </w:style>
  <w:style w:type="paragraph" w:styleId="6">
    <w:name w:val="Body Text"/>
    <w:basedOn w:val="1"/>
    <w:link w:val="46"/>
    <w:qFormat/>
    <w:uiPriority w:val="0"/>
    <w:pPr>
      <w:tabs>
        <w:tab w:val="left" w:pos="1440"/>
        <w:tab w:val="left" w:pos="2160"/>
      </w:tabs>
      <w:adjustRightInd w:val="0"/>
      <w:spacing w:line="360" w:lineRule="auto"/>
      <w:jc w:val="left"/>
      <w:textAlignment w:val="baseline"/>
    </w:pPr>
    <w:rPr>
      <w:rFonts w:ascii="Times New Roman" w:hAnsi="Times New Roman" w:eastAsia="宋体" w:cs="Times New Roman"/>
      <w:kern w:val="0"/>
      <w:szCs w:val="20"/>
    </w:rPr>
  </w:style>
  <w:style w:type="paragraph" w:styleId="7">
    <w:name w:val="Body Text Indent"/>
    <w:basedOn w:val="1"/>
    <w:link w:val="47"/>
    <w:qFormat/>
    <w:uiPriority w:val="0"/>
    <w:pPr>
      <w:spacing w:line="400" w:lineRule="exact"/>
      <w:ind w:firstLine="480"/>
    </w:pPr>
    <w:rPr>
      <w:rFonts w:ascii="Times New Roman" w:hAnsi="Times New Roman" w:eastAsia="宋体" w:cs="Times New Roman"/>
      <w:szCs w:val="20"/>
    </w:rPr>
  </w:style>
  <w:style w:type="paragraph" w:styleId="8">
    <w:name w:val="toc 5"/>
    <w:basedOn w:val="1"/>
    <w:next w:val="1"/>
    <w:unhideWhenUsed/>
    <w:qFormat/>
    <w:uiPriority w:val="39"/>
    <w:pPr>
      <w:ind w:left="1680" w:leftChars="800"/>
    </w:pPr>
    <w:rPr>
      <w:szCs w:val="22"/>
    </w:rPr>
  </w:style>
  <w:style w:type="paragraph" w:styleId="9">
    <w:name w:val="toc 3"/>
    <w:basedOn w:val="1"/>
    <w:next w:val="1"/>
    <w:autoRedefine/>
    <w:unhideWhenUsed/>
    <w:qFormat/>
    <w:uiPriority w:val="39"/>
    <w:pPr>
      <w:ind w:left="840" w:leftChars="400"/>
    </w:pPr>
    <w:rPr>
      <w:szCs w:val="22"/>
    </w:rPr>
  </w:style>
  <w:style w:type="paragraph" w:styleId="10">
    <w:name w:val="Plain Text"/>
    <w:basedOn w:val="1"/>
    <w:link w:val="57"/>
    <w:autoRedefine/>
    <w:qFormat/>
    <w:uiPriority w:val="0"/>
    <w:rPr>
      <w:rFonts w:ascii="宋体" w:hAnsi="Courier New" w:cs="Courier New"/>
      <w:szCs w:val="21"/>
    </w:rPr>
  </w:style>
  <w:style w:type="paragraph" w:styleId="11">
    <w:name w:val="toc 8"/>
    <w:basedOn w:val="1"/>
    <w:next w:val="1"/>
    <w:autoRedefine/>
    <w:unhideWhenUsed/>
    <w:qFormat/>
    <w:uiPriority w:val="39"/>
    <w:pPr>
      <w:ind w:left="2940" w:leftChars="1400"/>
    </w:pPr>
    <w:rPr>
      <w:szCs w:val="22"/>
    </w:rPr>
  </w:style>
  <w:style w:type="paragraph" w:styleId="12">
    <w:name w:val="endnote text"/>
    <w:basedOn w:val="1"/>
    <w:link w:val="40"/>
    <w:autoRedefine/>
    <w:qFormat/>
    <w:uiPriority w:val="0"/>
    <w:pPr>
      <w:snapToGrid w:val="0"/>
      <w:jc w:val="left"/>
    </w:pPr>
  </w:style>
  <w:style w:type="paragraph" w:styleId="13">
    <w:name w:val="Balloon Text"/>
    <w:basedOn w:val="1"/>
    <w:link w:val="48"/>
    <w:autoRedefine/>
    <w:qFormat/>
    <w:uiPriority w:val="0"/>
    <w:rPr>
      <w:rFonts w:ascii="Times New Roman" w:hAnsi="Times New Roman" w:eastAsia="宋体" w:cs="Times New Roman"/>
      <w:sz w:val="18"/>
      <w:szCs w:val="18"/>
    </w:rPr>
  </w:style>
  <w:style w:type="paragraph" w:styleId="14">
    <w:name w:val="footer"/>
    <w:basedOn w:val="1"/>
    <w:link w:val="42"/>
    <w:autoRedefine/>
    <w:qFormat/>
    <w:uiPriority w:val="0"/>
    <w:pPr>
      <w:tabs>
        <w:tab w:val="center" w:pos="4153"/>
        <w:tab w:val="right" w:pos="8306"/>
      </w:tabs>
      <w:snapToGrid w:val="0"/>
      <w:jc w:val="left"/>
    </w:pPr>
    <w:rPr>
      <w:sz w:val="18"/>
      <w:szCs w:val="18"/>
    </w:rPr>
  </w:style>
  <w:style w:type="paragraph" w:styleId="15">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pPr>
      <w:tabs>
        <w:tab w:val="right" w:leader="dot" w:pos="8303"/>
      </w:tabs>
    </w:pPr>
    <w:rPr>
      <w:rFonts w:ascii="Times New Roman" w:hAnsi="Times New Roman" w:eastAsia="宋体" w:cs="Times New Roman"/>
      <w:b/>
      <w:kern w:val="0"/>
      <w:szCs w:val="20"/>
      <w:lang w:val="zh-CN"/>
    </w:rPr>
  </w:style>
  <w:style w:type="paragraph" w:styleId="17">
    <w:name w:val="toc 4"/>
    <w:basedOn w:val="1"/>
    <w:next w:val="1"/>
    <w:autoRedefine/>
    <w:qFormat/>
    <w:uiPriority w:val="39"/>
    <w:pPr>
      <w:ind w:left="1260" w:leftChars="600"/>
    </w:pPr>
  </w:style>
  <w:style w:type="paragraph" w:styleId="18">
    <w:name w:val="Subtitle"/>
    <w:basedOn w:val="1"/>
    <w:link w:val="39"/>
    <w:autoRedefine/>
    <w:qFormat/>
    <w:uiPriority w:val="0"/>
    <w:pPr>
      <w:autoSpaceDE w:val="0"/>
      <w:autoSpaceDN w:val="0"/>
      <w:adjustRightInd w:val="0"/>
      <w:jc w:val="center"/>
      <w:outlineLvl w:val="1"/>
    </w:pPr>
    <w:rPr>
      <w:rFonts w:ascii="Arial" w:hAnsi="Arial" w:eastAsia="MS Gothic" w:cs="Times New Roman"/>
      <w:kern w:val="0"/>
      <w:sz w:val="24"/>
    </w:rPr>
  </w:style>
  <w:style w:type="paragraph" w:styleId="19">
    <w:name w:val="footnote text"/>
    <w:basedOn w:val="1"/>
    <w:link w:val="37"/>
    <w:autoRedefine/>
    <w:qFormat/>
    <w:uiPriority w:val="0"/>
    <w:pPr>
      <w:snapToGrid w:val="0"/>
      <w:jc w:val="left"/>
    </w:pPr>
    <w:rPr>
      <w:rFonts w:ascii="Calibri" w:hAnsi="Calibri" w:eastAsia="宋体" w:cs="Times New Roman"/>
      <w:sz w:val="18"/>
      <w:szCs w:val="18"/>
    </w:rPr>
  </w:style>
  <w:style w:type="paragraph" w:styleId="20">
    <w:name w:val="toc 6"/>
    <w:basedOn w:val="1"/>
    <w:next w:val="1"/>
    <w:autoRedefine/>
    <w:unhideWhenUsed/>
    <w:qFormat/>
    <w:uiPriority w:val="39"/>
    <w:pPr>
      <w:ind w:left="2100" w:leftChars="1000"/>
    </w:pPr>
    <w:rPr>
      <w:szCs w:val="22"/>
    </w:rPr>
  </w:style>
  <w:style w:type="paragraph" w:styleId="21">
    <w:name w:val="toc 2"/>
    <w:basedOn w:val="1"/>
    <w:next w:val="1"/>
    <w:autoRedefine/>
    <w:qFormat/>
    <w:uiPriority w:val="39"/>
    <w:pPr>
      <w:ind w:left="420" w:leftChars="200"/>
    </w:pPr>
    <w:rPr>
      <w:rFonts w:ascii="Times New Roman" w:hAnsi="Times New Roman" w:eastAsia="宋体" w:cs="Times New Roman"/>
      <w:szCs w:val="20"/>
    </w:rPr>
  </w:style>
  <w:style w:type="paragraph" w:styleId="22">
    <w:name w:val="toc 9"/>
    <w:basedOn w:val="1"/>
    <w:next w:val="1"/>
    <w:autoRedefine/>
    <w:unhideWhenUsed/>
    <w:qFormat/>
    <w:uiPriority w:val="39"/>
    <w:pPr>
      <w:ind w:left="3360" w:leftChars="1600"/>
    </w:pPr>
    <w:rPr>
      <w:szCs w:val="22"/>
    </w:rPr>
  </w:style>
  <w:style w:type="paragraph" w:styleId="23">
    <w:name w:val="Normal (Web)"/>
    <w:basedOn w:val="1"/>
    <w:autoRedefine/>
    <w:qFormat/>
    <w:uiPriority w:val="0"/>
    <w:rPr>
      <w:sz w:val="24"/>
    </w:rPr>
  </w:style>
  <w:style w:type="paragraph" w:styleId="24">
    <w:name w:val="Title"/>
    <w:basedOn w:val="1"/>
    <w:link w:val="34"/>
    <w:autoRedefine/>
    <w:qFormat/>
    <w:uiPriority w:val="0"/>
    <w:pPr>
      <w:autoSpaceDE w:val="0"/>
      <w:autoSpaceDN w:val="0"/>
      <w:adjustRightInd w:val="0"/>
      <w:spacing w:before="240" w:after="120"/>
      <w:jc w:val="center"/>
      <w:outlineLvl w:val="0"/>
    </w:pPr>
    <w:rPr>
      <w:rFonts w:ascii="Arial" w:hAnsi="Arial" w:eastAsia="MS Gothic" w:cs="Times New Roman"/>
      <w:kern w:val="0"/>
      <w:sz w:val="32"/>
      <w:szCs w:val="32"/>
    </w:rPr>
  </w:style>
  <w:style w:type="paragraph" w:styleId="25">
    <w:name w:val="annotation subject"/>
    <w:basedOn w:val="5"/>
    <w:next w:val="5"/>
    <w:link w:val="49"/>
    <w:autoRedefine/>
    <w:qFormat/>
    <w:uiPriority w:val="0"/>
    <w:rPr>
      <w:b/>
      <w:bCs/>
    </w:rPr>
  </w:style>
  <w:style w:type="table" w:styleId="27">
    <w:name w:val="Table Grid"/>
    <w:basedOn w:val="26"/>
    <w:autoRedefine/>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endnote reference"/>
    <w:basedOn w:val="28"/>
    <w:autoRedefine/>
    <w:qFormat/>
    <w:uiPriority w:val="0"/>
    <w:rPr>
      <w:vertAlign w:val="superscript"/>
    </w:rPr>
  </w:style>
  <w:style w:type="character" w:styleId="30">
    <w:name w:val="page number"/>
    <w:basedOn w:val="28"/>
    <w:autoRedefine/>
    <w:qFormat/>
    <w:uiPriority w:val="0"/>
  </w:style>
  <w:style w:type="character" w:styleId="31">
    <w:name w:val="Hyperlink"/>
    <w:autoRedefine/>
    <w:qFormat/>
    <w:uiPriority w:val="99"/>
    <w:rPr>
      <w:color w:val="0000FF"/>
      <w:u w:val="single"/>
    </w:rPr>
  </w:style>
  <w:style w:type="character" w:styleId="32">
    <w:name w:val="annotation reference"/>
    <w:autoRedefine/>
    <w:qFormat/>
    <w:uiPriority w:val="0"/>
    <w:rPr>
      <w:sz w:val="21"/>
      <w:szCs w:val="21"/>
    </w:rPr>
  </w:style>
  <w:style w:type="character" w:styleId="33">
    <w:name w:val="footnote reference"/>
    <w:basedOn w:val="28"/>
    <w:autoRedefine/>
    <w:qFormat/>
    <w:uiPriority w:val="0"/>
    <w:rPr>
      <w:vertAlign w:val="superscript"/>
    </w:rPr>
  </w:style>
  <w:style w:type="character" w:customStyle="1" w:styleId="34">
    <w:name w:val="标题 Char"/>
    <w:basedOn w:val="28"/>
    <w:link w:val="24"/>
    <w:qFormat/>
    <w:uiPriority w:val="0"/>
    <w:rPr>
      <w:rFonts w:ascii="Arial" w:hAnsi="Arial" w:eastAsia="MS Gothic" w:cs="Arial"/>
      <w:sz w:val="32"/>
      <w:szCs w:val="32"/>
      <w:lang w:val="en-US"/>
    </w:rPr>
  </w:style>
  <w:style w:type="paragraph" w:customStyle="1" w:styleId="35">
    <w:name w:val="章"/>
    <w:basedOn w:val="1"/>
    <w:qFormat/>
    <w:uiPriority w:val="0"/>
    <w:pPr>
      <w:jc w:val="center"/>
    </w:pPr>
    <w:rPr>
      <w:rFonts w:hint="eastAsia" w:ascii="黑体" w:hAnsi="黑体" w:eastAsia="黑体" w:cs="黑体"/>
      <w:sz w:val="32"/>
      <w:szCs w:val="32"/>
    </w:rPr>
  </w:style>
  <w:style w:type="paragraph" w:customStyle="1" w:styleId="36">
    <w:name w:val="部分"/>
    <w:basedOn w:val="1"/>
    <w:qFormat/>
    <w:uiPriority w:val="0"/>
    <w:pPr>
      <w:jc w:val="center"/>
      <w:outlineLvl w:val="1"/>
    </w:pPr>
    <w:rPr>
      <w:rFonts w:hint="eastAsia" w:ascii="楷体" w:hAnsi="楷体" w:eastAsia="楷体" w:cs="Times New Roman"/>
      <w:sz w:val="28"/>
      <w:szCs w:val="28"/>
    </w:rPr>
  </w:style>
  <w:style w:type="character" w:customStyle="1" w:styleId="37">
    <w:name w:val="脚注文本 Char"/>
    <w:basedOn w:val="28"/>
    <w:link w:val="19"/>
    <w:qFormat/>
    <w:uiPriority w:val="0"/>
    <w:rPr>
      <w:kern w:val="2"/>
      <w:sz w:val="18"/>
      <w:szCs w:val="18"/>
    </w:rPr>
  </w:style>
  <w:style w:type="paragraph" w:customStyle="1" w:styleId="38">
    <w:name w:val="标题2"/>
    <w:basedOn w:val="1"/>
    <w:qFormat/>
    <w:uiPriority w:val="0"/>
    <w:pPr>
      <w:numPr>
        <w:ilvl w:val="0"/>
        <w:numId w:val="1"/>
      </w:numPr>
      <w:adjustRightInd w:val="0"/>
      <w:snapToGrid w:val="0"/>
      <w:spacing w:line="360" w:lineRule="auto"/>
      <w:jc w:val="center"/>
    </w:pPr>
    <w:rPr>
      <w:rFonts w:ascii="Times New Roman" w:hAnsi="Times New Roman" w:eastAsia="宋体" w:cs="Times New Roman"/>
      <w:b/>
      <w:bCs/>
      <w:szCs w:val="22"/>
    </w:rPr>
  </w:style>
  <w:style w:type="character" w:customStyle="1" w:styleId="39">
    <w:name w:val="副标题 Char"/>
    <w:basedOn w:val="28"/>
    <w:link w:val="18"/>
    <w:qFormat/>
    <w:uiPriority w:val="0"/>
    <w:rPr>
      <w:rFonts w:ascii="Arial" w:hAnsi="Arial" w:eastAsia="MS Gothic" w:cs="Arial"/>
      <w:sz w:val="24"/>
      <w:szCs w:val="24"/>
      <w:lang w:val="en-US"/>
    </w:rPr>
  </w:style>
  <w:style w:type="character" w:customStyle="1" w:styleId="40">
    <w:name w:val="尾注文本 Char"/>
    <w:basedOn w:val="28"/>
    <w:link w:val="12"/>
    <w:qFormat/>
    <w:uiPriority w:val="0"/>
    <w:rPr>
      <w:rFonts w:asciiTheme="minorHAnsi" w:hAnsiTheme="minorHAnsi" w:eastAsiaTheme="minorEastAsia" w:cstheme="minorBidi"/>
      <w:kern w:val="2"/>
      <w:sz w:val="21"/>
      <w:szCs w:val="24"/>
    </w:rPr>
  </w:style>
  <w:style w:type="character" w:customStyle="1" w:styleId="41">
    <w:name w:val="页眉 Char"/>
    <w:basedOn w:val="28"/>
    <w:link w:val="15"/>
    <w:qFormat/>
    <w:uiPriority w:val="0"/>
    <w:rPr>
      <w:rFonts w:asciiTheme="minorHAnsi" w:hAnsiTheme="minorHAnsi" w:eastAsiaTheme="minorEastAsia" w:cstheme="minorBidi"/>
      <w:kern w:val="2"/>
      <w:sz w:val="18"/>
      <w:szCs w:val="18"/>
    </w:rPr>
  </w:style>
  <w:style w:type="character" w:customStyle="1" w:styleId="42">
    <w:name w:val="页脚 Char"/>
    <w:basedOn w:val="28"/>
    <w:link w:val="14"/>
    <w:qFormat/>
    <w:uiPriority w:val="0"/>
    <w:rPr>
      <w:rFonts w:asciiTheme="minorHAnsi" w:hAnsiTheme="minorHAnsi" w:eastAsiaTheme="minorEastAsia" w:cstheme="minorBidi"/>
      <w:kern w:val="2"/>
      <w:sz w:val="18"/>
      <w:szCs w:val="18"/>
    </w:rPr>
  </w:style>
  <w:style w:type="character" w:customStyle="1" w:styleId="43">
    <w:name w:val="标题 1 Char"/>
    <w:basedOn w:val="28"/>
    <w:link w:val="2"/>
    <w:qFormat/>
    <w:uiPriority w:val="99"/>
    <w:rPr>
      <w:rFonts w:ascii="Times New Roman" w:hAnsi="Times New Roman" w:cs="Times New Roman"/>
      <w:b/>
      <w:bCs/>
      <w:kern w:val="44"/>
      <w:sz w:val="44"/>
      <w:szCs w:val="44"/>
    </w:rPr>
  </w:style>
  <w:style w:type="character" w:customStyle="1" w:styleId="44">
    <w:name w:val="标题 2 Char"/>
    <w:basedOn w:val="28"/>
    <w:link w:val="3"/>
    <w:qFormat/>
    <w:uiPriority w:val="0"/>
    <w:rPr>
      <w:rFonts w:ascii="Arial" w:hAnsi="Arial" w:eastAsia="黑体" w:cs="Times New Roman"/>
      <w:b/>
      <w:bCs/>
      <w:kern w:val="2"/>
      <w:sz w:val="32"/>
      <w:szCs w:val="32"/>
    </w:rPr>
  </w:style>
  <w:style w:type="character" w:customStyle="1" w:styleId="45">
    <w:name w:val="批注文字 Char"/>
    <w:basedOn w:val="28"/>
    <w:link w:val="5"/>
    <w:qFormat/>
    <w:uiPriority w:val="0"/>
    <w:rPr>
      <w:rFonts w:ascii="Times New Roman" w:hAnsi="Times New Roman" w:cs="Times New Roman"/>
      <w:kern w:val="2"/>
      <w:sz w:val="21"/>
      <w:szCs w:val="24"/>
    </w:rPr>
  </w:style>
  <w:style w:type="character" w:customStyle="1" w:styleId="46">
    <w:name w:val="正文文本 Char"/>
    <w:basedOn w:val="28"/>
    <w:link w:val="6"/>
    <w:qFormat/>
    <w:uiPriority w:val="0"/>
    <w:rPr>
      <w:rFonts w:ascii="Times New Roman" w:hAnsi="Times New Roman" w:cs="Times New Roman"/>
      <w:sz w:val="21"/>
    </w:rPr>
  </w:style>
  <w:style w:type="character" w:customStyle="1" w:styleId="47">
    <w:name w:val="正文文本缩进 Char"/>
    <w:basedOn w:val="28"/>
    <w:link w:val="7"/>
    <w:qFormat/>
    <w:uiPriority w:val="0"/>
    <w:rPr>
      <w:rFonts w:ascii="Times New Roman" w:hAnsi="Times New Roman" w:cs="Times New Roman"/>
      <w:kern w:val="2"/>
      <w:sz w:val="21"/>
    </w:rPr>
  </w:style>
  <w:style w:type="character" w:customStyle="1" w:styleId="48">
    <w:name w:val="批注框文本 Char"/>
    <w:basedOn w:val="28"/>
    <w:link w:val="13"/>
    <w:qFormat/>
    <w:uiPriority w:val="0"/>
    <w:rPr>
      <w:rFonts w:ascii="Times New Roman" w:hAnsi="Times New Roman" w:cs="Times New Roman"/>
      <w:kern w:val="2"/>
      <w:sz w:val="18"/>
      <w:szCs w:val="18"/>
    </w:rPr>
  </w:style>
  <w:style w:type="character" w:customStyle="1" w:styleId="49">
    <w:name w:val="批注主题 Char"/>
    <w:basedOn w:val="45"/>
    <w:link w:val="25"/>
    <w:qFormat/>
    <w:uiPriority w:val="0"/>
    <w:rPr>
      <w:rFonts w:ascii="Times New Roman" w:hAnsi="Times New Roman" w:cs="Times New Roman"/>
      <w:b/>
      <w:bCs/>
      <w:kern w:val="2"/>
      <w:sz w:val="21"/>
      <w:szCs w:val="24"/>
    </w:rPr>
  </w:style>
  <w:style w:type="paragraph" w:customStyle="1" w:styleId="50">
    <w:name w:val="Default"/>
    <w:qFormat/>
    <w:uiPriority w:val="0"/>
    <w:pPr>
      <w:widowControl w:val="0"/>
      <w:autoSpaceDE w:val="0"/>
      <w:autoSpaceDN w:val="0"/>
      <w:adjustRightInd w:val="0"/>
    </w:pPr>
    <w:rPr>
      <w:rFonts w:ascii="BEBIGD+TimesNewRoman" w:hAnsi="Times New Roman" w:eastAsia="BEBIGD+TimesNewRoman" w:cs="BEBIGD+TimesNewRoman"/>
      <w:color w:val="000000"/>
      <w:sz w:val="24"/>
      <w:szCs w:val="24"/>
      <w:lang w:val="en-US" w:eastAsia="zh-CN" w:bidi="ar-SA"/>
    </w:rPr>
  </w:style>
  <w:style w:type="paragraph" w:customStyle="1" w:styleId="51">
    <w:name w:val="Char Char"/>
    <w:basedOn w:val="1"/>
    <w:qFormat/>
    <w:uiPriority w:val="0"/>
    <w:pPr>
      <w:widowControl/>
      <w:jc w:val="left"/>
    </w:pPr>
    <w:rPr>
      <w:rFonts w:ascii="Times New Roman" w:hAnsi="Times New Roman" w:eastAsia="宋体" w:cs="Times New Roman"/>
      <w:kern w:val="0"/>
      <w:sz w:val="24"/>
      <w:szCs w:val="20"/>
      <w:lang w:val="pl-PL" w:eastAsia="pl-PL"/>
    </w:rPr>
  </w:style>
  <w:style w:type="paragraph" w:customStyle="1" w:styleId="52">
    <w:name w:val="Char Char2 Char Char Char Char"/>
    <w:basedOn w:val="1"/>
    <w:qFormat/>
    <w:uiPriority w:val="0"/>
    <w:pPr>
      <w:widowControl/>
      <w:jc w:val="left"/>
    </w:pPr>
    <w:rPr>
      <w:rFonts w:ascii="Times New Roman" w:hAnsi="Times New Roman" w:eastAsia="宋体" w:cs="Times New Roman"/>
      <w:kern w:val="0"/>
      <w:sz w:val="24"/>
      <w:szCs w:val="20"/>
      <w:lang w:val="pl-PL" w:eastAsia="pl-PL"/>
    </w:rPr>
  </w:style>
  <w:style w:type="paragraph" w:customStyle="1" w:styleId="53">
    <w:name w:val="Pa0+2"/>
    <w:basedOn w:val="1"/>
    <w:next w:val="1"/>
    <w:qFormat/>
    <w:uiPriority w:val="0"/>
    <w:pPr>
      <w:autoSpaceDE w:val="0"/>
      <w:autoSpaceDN w:val="0"/>
      <w:adjustRightInd w:val="0"/>
      <w:spacing w:line="241" w:lineRule="atLeast"/>
      <w:jc w:val="left"/>
    </w:pPr>
    <w:rPr>
      <w:rFonts w:ascii="宋体" w:hAnsi="Times New Roman" w:eastAsia="宋体" w:cs="Times New Roman"/>
      <w:kern w:val="0"/>
      <w:sz w:val="24"/>
    </w:rPr>
  </w:style>
  <w:style w:type="character" w:customStyle="1" w:styleId="54">
    <w:name w:val="A6+1"/>
    <w:qFormat/>
    <w:uiPriority w:val="99"/>
    <w:rPr>
      <w:color w:val="221E1F"/>
      <w:sz w:val="16"/>
    </w:rPr>
  </w:style>
  <w:style w:type="paragraph" w:styleId="55">
    <w:name w:val="List Paragraph"/>
    <w:basedOn w:val="1"/>
    <w:qFormat/>
    <w:uiPriority w:val="99"/>
    <w:pPr>
      <w:ind w:firstLine="420" w:firstLineChars="200"/>
    </w:pPr>
    <w:rPr>
      <w:rFonts w:ascii="Times New Roman" w:hAnsi="Times New Roman" w:eastAsia="宋体" w:cs="Times New Roman"/>
      <w:szCs w:val="20"/>
    </w:rPr>
  </w:style>
  <w:style w:type="character" w:styleId="56">
    <w:name w:val="Placeholder Text"/>
    <w:semiHidden/>
    <w:qFormat/>
    <w:uiPriority w:val="99"/>
    <w:rPr>
      <w:color w:val="808080"/>
    </w:rPr>
  </w:style>
  <w:style w:type="character" w:customStyle="1" w:styleId="57">
    <w:name w:val="纯文本 Char"/>
    <w:basedOn w:val="28"/>
    <w:link w:val="10"/>
    <w:qFormat/>
    <w:uiPriority w:val="0"/>
    <w:rPr>
      <w:rFonts w:ascii="宋体" w:hAnsi="Courier New" w:cs="Courier New" w:eastAsiaTheme="minorEastAsia"/>
      <w:kern w:val="2"/>
      <w:sz w:val="21"/>
      <w:szCs w:val="21"/>
    </w:rPr>
  </w:style>
  <w:style w:type="paragraph" w:customStyle="1" w:styleId="58">
    <w:name w:val="List Paragraph1"/>
    <w:basedOn w:val="1"/>
    <w:qFormat/>
    <w:uiPriority w:val="0"/>
    <w:pPr>
      <w:ind w:firstLine="420" w:firstLineChars="200"/>
    </w:pPr>
    <w:rPr>
      <w:rFonts w:ascii="Times New Roman" w:hAnsi="Times New Roman" w:eastAsia="宋体" w:cs="Times New Roman"/>
      <w:szCs w:val="21"/>
    </w:rPr>
  </w:style>
  <w:style w:type="table" w:customStyle="1" w:styleId="59">
    <w:name w:val="网格型22"/>
    <w:basedOn w:val="26"/>
    <w:qFormat/>
    <w:uiPriority w:val="0"/>
    <w:rPr>
      <w:rFonts w:cs="Times New Roman"/>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
    <w:name w:val="网格型3"/>
    <w:basedOn w:val="26"/>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1">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62">
    <w:name w:val="脚注文本 Char1"/>
    <w:qFormat/>
    <w:uiPriority w:val="99"/>
    <w:rPr>
      <w:sz w:val="18"/>
    </w:rPr>
  </w:style>
  <w:style w:type="character" w:customStyle="1" w:styleId="63">
    <w:name w:val="纯文本 Char1"/>
    <w:basedOn w:val="28"/>
    <w:qFormat/>
    <w:uiPriority w:val="0"/>
    <w:rPr>
      <w:rFonts w:ascii="宋体" w:hAnsi="Courier New"/>
      <w:kern w:val="2"/>
      <w:sz w:val="21"/>
    </w:rPr>
  </w:style>
  <w:style w:type="paragraph" w:customStyle="1" w:styleId="64">
    <w:name w:val="_Style 43"/>
    <w:basedOn w:val="1"/>
    <w:next w:val="55"/>
    <w:qFormat/>
    <w:uiPriority w:val="34"/>
    <w:pPr>
      <w:ind w:firstLine="420" w:firstLineChars="200"/>
    </w:pPr>
    <w:rPr>
      <w:rFonts w:ascii="Calibri" w:hAnsi="Calibri" w:eastAsia="宋体" w:cs="Times New Roman"/>
      <w:szCs w:val="22"/>
    </w:rPr>
  </w:style>
  <w:style w:type="paragraph" w:customStyle="1" w:styleId="65">
    <w:name w:val="_Style 44"/>
    <w:basedOn w:val="1"/>
    <w:next w:val="55"/>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47017-D2B4-4349-80BF-D747F4BD9AFC}">
  <ds:schemaRefs/>
</ds:datastoreItem>
</file>

<file path=docProps/app.xml><?xml version="1.0" encoding="utf-8"?>
<Properties xmlns="http://schemas.openxmlformats.org/officeDocument/2006/extended-properties" xmlns:vt="http://schemas.openxmlformats.org/officeDocument/2006/docPropsVTypes">
  <Template>Normal</Template>
  <Pages>1</Pages>
  <Words>7721</Words>
  <Characters>44010</Characters>
  <Lines>366</Lines>
  <Paragraphs>103</Paragraphs>
  <TotalTime>0</TotalTime>
  <ScaleCrop>false</ScaleCrop>
  <LinksUpToDate>false</LinksUpToDate>
  <CharactersWithSpaces>51628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2022-07-01T06:34:00Z</dcterms:created>
  <dc:creator>原睿奇</dc:creator>
  <cp:lastModifiedBy>晓颖</cp:lastModifiedBy>
  <dcterms:modified xsi:type="dcterms:W3CDTF">2024-02-04T05:27:43Z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AB65344FE02747259458330C1A24C284</vt:lpwstr>
  </property>
</Properties>
</file>